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95AE" w14:textId="77777777" w:rsidR="003F6107" w:rsidRDefault="00000000">
      <w:pPr>
        <w:spacing w:after="0" w:line="259" w:lineRule="auto"/>
        <w:ind w:left="0" w:firstLine="0"/>
        <w:jc w:val="center"/>
      </w:pPr>
      <w:r>
        <w:rPr>
          <w:b/>
          <w:sz w:val="28"/>
        </w:rPr>
        <w:t>D</w:t>
      </w:r>
      <w:r>
        <w:rPr>
          <w:b/>
          <w:sz w:val="22"/>
        </w:rPr>
        <w:t xml:space="preserve">AVID </w:t>
      </w:r>
      <w:r>
        <w:rPr>
          <w:b/>
          <w:sz w:val="28"/>
        </w:rPr>
        <w:t>L.</w:t>
      </w:r>
      <w:r>
        <w:rPr>
          <w:b/>
          <w:sz w:val="22"/>
        </w:rPr>
        <w:t xml:space="preserve"> </w:t>
      </w:r>
      <w:r>
        <w:rPr>
          <w:b/>
          <w:sz w:val="28"/>
        </w:rPr>
        <w:t>M</w:t>
      </w:r>
      <w:r>
        <w:rPr>
          <w:b/>
          <w:sz w:val="22"/>
        </w:rPr>
        <w:t>C</w:t>
      </w:r>
      <w:r>
        <w:rPr>
          <w:b/>
          <w:sz w:val="28"/>
        </w:rPr>
        <w:t>C</w:t>
      </w:r>
      <w:r>
        <w:rPr>
          <w:b/>
          <w:sz w:val="22"/>
        </w:rPr>
        <w:t>OLLUM</w:t>
      </w:r>
      <w:r>
        <w:rPr>
          <w:b/>
          <w:sz w:val="28"/>
        </w:rPr>
        <w:t xml:space="preserve"> </w:t>
      </w:r>
    </w:p>
    <w:p w14:paraId="2F171D1D" w14:textId="77777777" w:rsidR="003F6107" w:rsidRDefault="00000000">
      <w:pPr>
        <w:spacing w:after="5" w:line="269" w:lineRule="auto"/>
        <w:ind w:left="211" w:right="239" w:hanging="10"/>
        <w:jc w:val="center"/>
      </w:pPr>
      <w:r>
        <w:t xml:space="preserve">Distinguished R&amp;D Staff </w:t>
      </w:r>
      <w:r>
        <w:rPr>
          <w:rFonts w:ascii="Wingdings 2" w:eastAsia="Wingdings 2" w:hAnsi="Wingdings 2" w:cs="Wingdings 2"/>
          <w:sz w:val="31"/>
          <w:vertAlign w:val="subscript"/>
        </w:rPr>
        <w:t></w:t>
      </w:r>
      <w:r>
        <w:t xml:space="preserve"> Oak Ridge National Laboratory </w:t>
      </w:r>
    </w:p>
    <w:p w14:paraId="24C4A067" w14:textId="77777777" w:rsidR="003F6107" w:rsidRDefault="00000000">
      <w:pPr>
        <w:spacing w:after="5" w:line="269" w:lineRule="auto"/>
        <w:ind w:left="211" w:right="239" w:hanging="10"/>
        <w:jc w:val="center"/>
      </w:pPr>
      <w:r>
        <w:t xml:space="preserve">Joint Faculty Professor </w:t>
      </w:r>
      <w:r>
        <w:rPr>
          <w:rFonts w:ascii="Wingdings 2" w:eastAsia="Wingdings 2" w:hAnsi="Wingdings 2" w:cs="Wingdings 2"/>
          <w:sz w:val="31"/>
          <w:vertAlign w:val="subscript"/>
        </w:rPr>
        <w:t></w:t>
      </w:r>
      <w:r>
        <w:t xml:space="preserve"> University of Tennessee </w:t>
      </w:r>
    </w:p>
    <w:p w14:paraId="264A521B" w14:textId="77777777" w:rsidR="003F6107" w:rsidRDefault="00000000">
      <w:pPr>
        <w:spacing w:after="5" w:line="269" w:lineRule="auto"/>
        <w:ind w:left="211" w:right="239" w:hanging="10"/>
        <w:jc w:val="center"/>
      </w:pPr>
      <w:r>
        <w:t xml:space="preserve">2360 Cherahala Boulevard, Knoxville, Tennessee 37932 (USA) </w:t>
      </w:r>
      <w:r>
        <w:rPr>
          <w:rFonts w:ascii="Wingdings 2" w:eastAsia="Wingdings 2" w:hAnsi="Wingdings 2" w:cs="Wingdings 2"/>
          <w:sz w:val="31"/>
          <w:vertAlign w:val="subscript"/>
        </w:rPr>
        <w:t></w:t>
      </w:r>
      <w:r>
        <w:t xml:space="preserve"> mccollumdl@ornl.gov </w:t>
      </w:r>
    </w:p>
    <w:p w14:paraId="0C3CA29D" w14:textId="77777777" w:rsidR="003F6107" w:rsidRDefault="00000000">
      <w:pPr>
        <w:spacing w:after="5" w:line="269" w:lineRule="auto"/>
        <w:ind w:left="211" w:right="238" w:hanging="10"/>
        <w:jc w:val="center"/>
      </w:pPr>
      <w:r>
        <w:t xml:space="preserve">www.ornl.gov/staff-profile/david-l-mccollum </w:t>
      </w:r>
      <w:r>
        <w:rPr>
          <w:rFonts w:ascii="Wingdings 2" w:eastAsia="Wingdings 2" w:hAnsi="Wingdings 2" w:cs="Wingdings 2"/>
          <w:sz w:val="31"/>
          <w:vertAlign w:val="subscript"/>
        </w:rPr>
        <w:t></w:t>
      </w:r>
      <w:r>
        <w:t xml:space="preserve"> scholar.google.com/citations?user=LjmiTtQAAAAJ&amp;hl=en </w:t>
      </w:r>
    </w:p>
    <w:p w14:paraId="0D371B7C" w14:textId="77777777" w:rsidR="003F6107" w:rsidRDefault="00000000">
      <w:pPr>
        <w:spacing w:after="34" w:line="259" w:lineRule="auto"/>
        <w:ind w:left="0" w:right="0" w:firstLine="0"/>
      </w:pPr>
      <w:r>
        <w:t xml:space="preserve"> </w:t>
      </w:r>
    </w:p>
    <w:p w14:paraId="16260B3D" w14:textId="77777777" w:rsidR="003F6107" w:rsidRDefault="00000000">
      <w:pPr>
        <w:pStyle w:val="Heading1"/>
        <w:ind w:left="-4"/>
      </w:pPr>
      <w:r>
        <w:t xml:space="preserve">PROFESSIONAL EXPERIENCE </w:t>
      </w:r>
    </w:p>
    <w:p w14:paraId="4C89D68F" w14:textId="77777777" w:rsidR="003F6107" w:rsidRDefault="00000000">
      <w:pPr>
        <w:spacing w:after="3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3B5FD" wp14:editId="3EB9A2DF">
                <wp:extent cx="7078993" cy="9144"/>
                <wp:effectExtent l="0" t="0" r="0" b="0"/>
                <wp:docPr id="9410" name="Group 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54" name="Shape 10354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0" style="width:557.401pt;height:0.719971pt;mso-position-horizontal-relative:char;mso-position-vertical-relative:line" coordsize="70789,91">
                <v:shape id="Shape 10355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F91D04" w14:textId="77777777" w:rsidR="003F6107" w:rsidRDefault="00000000">
      <w:pPr>
        <w:ind w:left="370" w:right="1015" w:firstLine="0"/>
      </w:pPr>
      <w:r>
        <w:rPr>
          <w:b/>
        </w:rPr>
        <w:t>Distinguished R&amp;D Staff</w:t>
      </w:r>
      <w:r>
        <w:t xml:space="preserve">, </w:t>
      </w:r>
      <w:r>
        <w:rPr>
          <w:sz w:val="21"/>
        </w:rPr>
        <w:t>Oak Ridge National Laboratory</w:t>
      </w:r>
      <w:r>
        <w:t>, Knoxville, Tennessee, USA, 4/2024-Present</w:t>
      </w:r>
      <w:r>
        <w:rPr>
          <w:b/>
        </w:rPr>
        <w:t xml:space="preserve"> Joint Faculty Professor</w:t>
      </w:r>
      <w:r>
        <w:t xml:space="preserve">, </w:t>
      </w:r>
      <w:r>
        <w:rPr>
          <w:sz w:val="21"/>
        </w:rPr>
        <w:t>Baker School of Public Policy, University of Tennessee</w:t>
      </w:r>
      <w:r>
        <w:t>, USA, 3/2024-Present</w:t>
      </w:r>
      <w:r>
        <w:rPr>
          <w:b/>
        </w:rPr>
        <w:t xml:space="preserve"> Senior R&amp;D Staff</w:t>
      </w:r>
      <w:r>
        <w:t xml:space="preserve">, </w:t>
      </w:r>
      <w:r>
        <w:rPr>
          <w:sz w:val="21"/>
        </w:rPr>
        <w:t>Oak Ridge National Laboratory</w:t>
      </w:r>
      <w:r>
        <w:t>, Knoxville, Tennessee, USA, 9/2021-3/2024</w:t>
      </w:r>
      <w:r>
        <w:rPr>
          <w:b/>
        </w:rPr>
        <w:t xml:space="preserve"> </w:t>
      </w:r>
    </w:p>
    <w:p w14:paraId="15DAFFF7" w14:textId="77777777" w:rsidR="003F6107" w:rsidRDefault="00000000">
      <w:pPr>
        <w:ind w:left="370" w:right="18" w:firstLine="0"/>
      </w:pPr>
      <w:r>
        <w:rPr>
          <w:b/>
        </w:rPr>
        <w:t>Guest Senior Research Scholar</w:t>
      </w:r>
      <w:r>
        <w:t xml:space="preserve">, </w:t>
      </w:r>
      <w:r>
        <w:rPr>
          <w:sz w:val="21"/>
        </w:rPr>
        <w:t>International Inst. for Applied Systems Analysis</w:t>
      </w:r>
      <w:r>
        <w:t xml:space="preserve">, Laxenburg, Austria, 10/2021-Present </w:t>
      </w:r>
      <w:r>
        <w:rPr>
          <w:b/>
        </w:rPr>
        <w:t>Research Fellow</w:t>
      </w:r>
      <w:r>
        <w:t xml:space="preserve"> in Energy and Environment, </w:t>
      </w:r>
      <w:r>
        <w:rPr>
          <w:sz w:val="21"/>
        </w:rPr>
        <w:t>Baker School of Public Policy, U. of Tennessee</w:t>
      </w:r>
      <w:r>
        <w:t>, USA, 1/2016-Present</w:t>
      </w:r>
      <w:r>
        <w:rPr>
          <w:b/>
        </w:rPr>
        <w:t xml:space="preserve"> </w:t>
      </w:r>
    </w:p>
    <w:p w14:paraId="0D9A7496" w14:textId="77777777" w:rsidR="003F6107" w:rsidRDefault="00000000">
      <w:pPr>
        <w:spacing w:after="9"/>
        <w:ind w:left="380" w:right="0" w:hanging="10"/>
        <w:jc w:val="both"/>
      </w:pPr>
      <w:r>
        <w:rPr>
          <w:b/>
        </w:rPr>
        <w:t>Senior Scientist</w:t>
      </w:r>
      <w:r>
        <w:t xml:space="preserve">, </w:t>
      </w:r>
      <w:r>
        <w:rPr>
          <w:sz w:val="21"/>
        </w:rPr>
        <w:t>IPCC WGIII Technical Support Unit, Imperial College London</w:t>
      </w:r>
      <w:r>
        <w:t>, UK, 7/2020-7/2023</w:t>
      </w:r>
      <w:r>
        <w:rPr>
          <w:b/>
        </w:rPr>
        <w:t xml:space="preserve"> </w:t>
      </w:r>
    </w:p>
    <w:p w14:paraId="79774766" w14:textId="77777777" w:rsidR="003F6107" w:rsidRDefault="00000000">
      <w:pPr>
        <w:ind w:left="370" w:right="18" w:firstLine="0"/>
      </w:pPr>
      <w:r>
        <w:rPr>
          <w:b/>
        </w:rPr>
        <w:t>Principal Technical Leader</w:t>
      </w:r>
      <w:r>
        <w:t xml:space="preserve">, </w:t>
      </w:r>
      <w:r>
        <w:rPr>
          <w:sz w:val="21"/>
        </w:rPr>
        <w:t>Electric Power Research Institute</w:t>
      </w:r>
      <w:r>
        <w:t>, Palo Alto, California, USA, 2/2019-9/2021</w:t>
      </w:r>
      <w:r>
        <w:rPr>
          <w:b/>
        </w:rPr>
        <w:t xml:space="preserve"> </w:t>
      </w:r>
    </w:p>
    <w:p w14:paraId="6FFB1AFF" w14:textId="77777777" w:rsidR="003F6107" w:rsidRDefault="00000000">
      <w:pPr>
        <w:spacing w:after="9"/>
        <w:ind w:left="380" w:right="0" w:hanging="10"/>
        <w:jc w:val="both"/>
      </w:pPr>
      <w:r>
        <w:rPr>
          <w:b/>
        </w:rPr>
        <w:t>Senior Research Scholar</w:t>
      </w:r>
      <w:r>
        <w:t xml:space="preserve">, </w:t>
      </w:r>
      <w:r>
        <w:rPr>
          <w:sz w:val="21"/>
        </w:rPr>
        <w:t>International Institute for Applied Systems Analysis</w:t>
      </w:r>
      <w:r>
        <w:t xml:space="preserve">, Laxenburg, Austria, 2/2011-1/2019 </w:t>
      </w:r>
      <w:r>
        <w:rPr>
          <w:b/>
        </w:rPr>
        <w:t xml:space="preserve"> Graduate Researcher</w:t>
      </w:r>
      <w:r>
        <w:t xml:space="preserve">, </w:t>
      </w:r>
      <w:r>
        <w:rPr>
          <w:sz w:val="21"/>
        </w:rPr>
        <w:t>University of California, Davis, Institute of Transportation Studies</w:t>
      </w:r>
      <w:r>
        <w:t xml:space="preserve">, USA, 9/2005-3/2011 </w:t>
      </w:r>
    </w:p>
    <w:p w14:paraId="0F47AE16" w14:textId="77777777" w:rsidR="003F6107" w:rsidRDefault="00000000">
      <w:pPr>
        <w:ind w:left="370" w:right="18" w:firstLine="0"/>
      </w:pPr>
      <w:r>
        <w:rPr>
          <w:b/>
        </w:rPr>
        <w:t>Research Aide</w:t>
      </w:r>
      <w:r>
        <w:t xml:space="preserve">, </w:t>
      </w:r>
      <w:r>
        <w:rPr>
          <w:sz w:val="21"/>
        </w:rPr>
        <w:t>Argonne National Laboratory</w:t>
      </w:r>
      <w:r>
        <w:t xml:space="preserve">, Washington, DC, USA, 9-12/2007 </w:t>
      </w:r>
    </w:p>
    <w:p w14:paraId="4BEE48CD" w14:textId="77777777" w:rsidR="003F6107" w:rsidRDefault="00000000">
      <w:pPr>
        <w:spacing w:after="9"/>
        <w:ind w:left="380" w:right="793" w:hanging="10"/>
        <w:jc w:val="both"/>
      </w:pPr>
      <w:r>
        <w:rPr>
          <w:b/>
        </w:rPr>
        <w:t>Assistant Language Teacher</w:t>
      </w:r>
      <w:r>
        <w:t xml:space="preserve">, </w:t>
      </w:r>
      <w:r>
        <w:rPr>
          <w:sz w:val="21"/>
        </w:rPr>
        <w:t>Japan Exchange and Teaching Program</w:t>
      </w:r>
      <w:r>
        <w:t xml:space="preserve">, Sendai, Japan, 7/2004-7/2005 </w:t>
      </w:r>
      <w:r>
        <w:rPr>
          <w:b/>
        </w:rPr>
        <w:t>Research Intern</w:t>
      </w:r>
      <w:r>
        <w:t xml:space="preserve">, </w:t>
      </w:r>
      <w:r>
        <w:rPr>
          <w:sz w:val="21"/>
        </w:rPr>
        <w:t>National Renewable Energy Laboratory</w:t>
      </w:r>
      <w:r>
        <w:t xml:space="preserve">, Golden, CO, USA, 6-8/2003 </w:t>
      </w:r>
    </w:p>
    <w:p w14:paraId="0F6BACE7" w14:textId="77777777" w:rsidR="003F6107" w:rsidRDefault="00000000">
      <w:pPr>
        <w:spacing w:after="9"/>
        <w:ind w:left="380" w:right="0" w:hanging="10"/>
        <w:jc w:val="both"/>
      </w:pPr>
      <w:r>
        <w:rPr>
          <w:b/>
        </w:rPr>
        <w:t>Legislative Intern</w:t>
      </w:r>
      <w:r>
        <w:t xml:space="preserve">, </w:t>
      </w:r>
      <w:r>
        <w:rPr>
          <w:sz w:val="21"/>
        </w:rPr>
        <w:t>United States Senate Committee on Governmental Affairs</w:t>
      </w:r>
      <w:r>
        <w:t xml:space="preserve">, Washington, DC, USA, 5-8/2001 </w:t>
      </w:r>
    </w:p>
    <w:p w14:paraId="30D4D7E3" w14:textId="77777777" w:rsidR="003F6107" w:rsidRDefault="00000000">
      <w:pPr>
        <w:spacing w:after="34" w:line="259" w:lineRule="auto"/>
        <w:ind w:left="1" w:right="0" w:firstLine="0"/>
      </w:pPr>
      <w:r>
        <w:t xml:space="preserve"> </w:t>
      </w:r>
    </w:p>
    <w:p w14:paraId="706ADB41" w14:textId="77777777" w:rsidR="003F6107" w:rsidRDefault="00000000">
      <w:pPr>
        <w:pStyle w:val="Heading1"/>
        <w:ind w:left="-4"/>
      </w:pPr>
      <w:r>
        <w:t xml:space="preserve">EDUCATION </w:t>
      </w:r>
    </w:p>
    <w:p w14:paraId="4E6A4ADE" w14:textId="77777777" w:rsidR="003F6107" w:rsidRDefault="00000000">
      <w:pPr>
        <w:spacing w:after="2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AA1781" wp14:editId="0254AF8C">
                <wp:extent cx="7078993" cy="9144"/>
                <wp:effectExtent l="0" t="0" r="0" b="0"/>
                <wp:docPr id="9411" name="Group 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56" name="Shape 10356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1" style="width:557.401pt;height:0.720001pt;mso-position-horizontal-relative:char;mso-position-vertical-relative:line" coordsize="70789,91">
                <v:shape id="Shape 10357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C70309" w14:textId="77777777" w:rsidR="003F6107" w:rsidRDefault="00000000">
      <w:pPr>
        <w:ind w:left="721" w:right="5594"/>
      </w:pPr>
      <w:r>
        <w:rPr>
          <w:b/>
        </w:rPr>
        <w:t>University of California, Davis</w:t>
      </w:r>
      <w:r>
        <w:t xml:space="preserve">, Davis, CA, USA Ph.D., Transportation Technology &amp; Policy (2011);  </w:t>
      </w:r>
    </w:p>
    <w:p w14:paraId="13CC48B0" w14:textId="77777777" w:rsidR="003F6107" w:rsidRDefault="00000000">
      <w:pPr>
        <w:ind w:left="721" w:right="18" w:firstLine="0"/>
      </w:pPr>
      <w:r>
        <w:t xml:space="preserve">M.S., Agricultural &amp; Resource Economics (2008); M.S., Transportation Technology &amp; Policy (2007) </w:t>
      </w:r>
    </w:p>
    <w:p w14:paraId="1F0D484E" w14:textId="77777777" w:rsidR="003F6107" w:rsidRDefault="00000000">
      <w:pPr>
        <w:pStyle w:val="Heading1"/>
        <w:ind w:left="371"/>
      </w:pPr>
      <w:r>
        <w:t>The University of Tennessee (UT)</w:t>
      </w:r>
      <w:r>
        <w:rPr>
          <w:b w:val="0"/>
        </w:rPr>
        <w:t xml:space="preserve">, Knoxville, TN, USA </w:t>
      </w:r>
    </w:p>
    <w:p w14:paraId="5B9B8CEF" w14:textId="77777777" w:rsidR="003F6107" w:rsidRDefault="00000000">
      <w:pPr>
        <w:ind w:left="721" w:right="18" w:firstLine="0"/>
      </w:pPr>
      <w:r>
        <w:t>B.S., Chemical Engineering, Chemistry minor (2004),</w:t>
      </w:r>
      <w:r>
        <w:rPr>
          <w:sz w:val="21"/>
        </w:rPr>
        <w:t xml:space="preserve"> summa cum laude and University Honors Scholar </w:t>
      </w:r>
    </w:p>
    <w:p w14:paraId="797A9A4B" w14:textId="77777777" w:rsidR="003F6107" w:rsidRDefault="00000000">
      <w:pPr>
        <w:ind w:left="370" w:right="18" w:firstLine="0"/>
      </w:pPr>
      <w:r>
        <w:rPr>
          <w:b/>
        </w:rPr>
        <w:t>Ajou University</w:t>
      </w:r>
      <w:r>
        <w:t xml:space="preserve">, Suwon, South Korea (study abroad, 2002) </w:t>
      </w:r>
    </w:p>
    <w:p w14:paraId="6F7E178B" w14:textId="77777777" w:rsidR="003F6107" w:rsidRDefault="00000000">
      <w:pPr>
        <w:spacing w:after="34" w:line="259" w:lineRule="auto"/>
        <w:ind w:left="1" w:right="0" w:firstLine="0"/>
      </w:pPr>
      <w:r>
        <w:t xml:space="preserve"> </w:t>
      </w:r>
    </w:p>
    <w:p w14:paraId="535A29B4" w14:textId="77777777" w:rsidR="003F6107" w:rsidRDefault="00000000">
      <w:pPr>
        <w:pStyle w:val="Heading1"/>
        <w:ind w:left="-4"/>
      </w:pPr>
      <w:r>
        <w:t xml:space="preserve">EXPERTISE &amp; INTERESTS </w:t>
      </w:r>
    </w:p>
    <w:p w14:paraId="44FEC21F" w14:textId="77777777" w:rsidR="003F6107" w:rsidRDefault="00000000">
      <w:pPr>
        <w:spacing w:after="2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DF2EC2" wp14:editId="5E1171FD">
                <wp:extent cx="7078993" cy="9144"/>
                <wp:effectExtent l="0" t="0" r="0" b="0"/>
                <wp:docPr id="9412" name="Group 9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58" name="Shape 10358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2" style="width:557.401pt;height:0.720001pt;mso-position-horizontal-relative:char;mso-position-vertical-relative:line" coordsize="70789,91">
                <v:shape id="Shape 10359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69F008" w14:textId="77777777" w:rsidR="003F6107" w:rsidRDefault="00000000">
      <w:pPr>
        <w:ind w:left="370" w:right="18" w:firstLine="0"/>
      </w:pPr>
      <w:r>
        <w:rPr>
          <w:b/>
        </w:rPr>
        <w:t>Integrated assessment and multi-sector dynamics</w:t>
      </w:r>
      <w:r>
        <w:t xml:space="preserve"> of global change and its human drivers and impacts </w:t>
      </w:r>
    </w:p>
    <w:p w14:paraId="072A5BC5" w14:textId="77777777" w:rsidR="003F6107" w:rsidRDefault="00000000">
      <w:pPr>
        <w:pStyle w:val="Heading1"/>
        <w:spacing w:after="27"/>
        <w:ind w:left="371"/>
      </w:pPr>
      <w:r>
        <w:t>Analysis of energy, climate, and broader sustainability objectives</w:t>
      </w:r>
      <w:r>
        <w:rPr>
          <w:b w:val="0"/>
        </w:rPr>
        <w:t xml:space="preserve">, including assessing their inter-linkages </w:t>
      </w:r>
    </w:p>
    <w:p w14:paraId="7F0F4797" w14:textId="77777777" w:rsidR="003F6107" w:rsidRDefault="00000000">
      <w:pPr>
        <w:ind w:left="370" w:right="18" w:firstLine="0"/>
      </w:pPr>
      <w:r>
        <w:rPr>
          <w:b/>
        </w:rPr>
        <w:t>Energy-economic systems modeling and scenario analysis</w:t>
      </w:r>
      <w:r>
        <w:t xml:space="preserve"> to inform policy-making and corporate decision-making  </w:t>
      </w:r>
    </w:p>
    <w:p w14:paraId="083A6073" w14:textId="77777777" w:rsidR="003F6107" w:rsidRDefault="00000000">
      <w:pPr>
        <w:ind w:left="370" w:right="18" w:firstLine="0"/>
      </w:pPr>
      <w:r>
        <w:rPr>
          <w:b/>
        </w:rPr>
        <w:t>Transportation sector</w:t>
      </w:r>
      <w:r>
        <w:t xml:space="preserve"> modeling and analysis (technology, policy, consumer behavior) </w:t>
      </w:r>
    </w:p>
    <w:p w14:paraId="4292C12B" w14:textId="77777777" w:rsidR="003F6107" w:rsidRDefault="00000000">
      <w:pPr>
        <w:ind w:left="370" w:right="18" w:firstLine="0"/>
      </w:pPr>
      <w:r>
        <w:rPr>
          <w:b/>
        </w:rPr>
        <w:t>Electricity sector</w:t>
      </w:r>
      <w:r>
        <w:t xml:space="preserve"> modeling and analysis (end-use electrification, systems modeling, and markets and regulation) </w:t>
      </w:r>
    </w:p>
    <w:p w14:paraId="13095A9A" w14:textId="77777777" w:rsidR="003F6107" w:rsidRDefault="00000000">
      <w:pPr>
        <w:ind w:left="370" w:right="18" w:firstLine="0"/>
      </w:pPr>
      <w:r>
        <w:rPr>
          <w:b/>
        </w:rPr>
        <w:t>Sustainability finance</w:t>
      </w:r>
      <w:r>
        <w:t xml:space="preserve"> (investment needs for achieving energy, climate, and other sustainability goals) </w:t>
      </w:r>
    </w:p>
    <w:p w14:paraId="68E58076" w14:textId="77777777" w:rsidR="003F6107" w:rsidRDefault="00000000">
      <w:pPr>
        <w:spacing w:after="34" w:line="259" w:lineRule="auto"/>
        <w:ind w:left="0" w:right="0" w:firstLine="0"/>
      </w:pPr>
      <w:r>
        <w:t xml:space="preserve"> </w:t>
      </w:r>
    </w:p>
    <w:p w14:paraId="477E29C0" w14:textId="77777777" w:rsidR="003F6107" w:rsidRDefault="00000000">
      <w:pPr>
        <w:pStyle w:val="Heading1"/>
        <w:ind w:left="-4"/>
      </w:pPr>
      <w:r>
        <w:t xml:space="preserve">PEER-REVIEWED PUBLICATIONS (SELECTED) </w:t>
      </w:r>
    </w:p>
    <w:p w14:paraId="4E148064" w14:textId="77777777" w:rsidR="003F6107" w:rsidRDefault="00000000">
      <w:pPr>
        <w:spacing w:after="3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4ED982" wp14:editId="11FB4A4A">
                <wp:extent cx="7078993" cy="9144"/>
                <wp:effectExtent l="0" t="0" r="0" b="0"/>
                <wp:docPr id="9413" name="Group 9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60" name="Shape 10360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3" style="width:557.401pt;height:0.719971pt;mso-position-horizontal-relative:char;mso-position-vertical-relative:line" coordsize="70789,91">
                <v:shape id="Shape 10361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8E6DC6" w14:textId="77777777" w:rsidR="003F6107" w:rsidRDefault="00000000">
      <w:pPr>
        <w:ind w:left="721" w:right="18"/>
      </w:pPr>
      <w:r>
        <w:t xml:space="preserve">Hoehne, C., M. Muratori, J. Bistline, C. Lenox, </w:t>
      </w:r>
      <w:r>
        <w:rPr>
          <w:b/>
        </w:rPr>
        <w:t>D.L. McCollum</w:t>
      </w:r>
      <w:r>
        <w:t xml:space="preserve"> et al. (2025). “Transportation in net-zero emissions futures: Insights from the EMF-37 model intercomparison study,” </w:t>
      </w:r>
      <w:r>
        <w:rPr>
          <w:sz w:val="21"/>
        </w:rPr>
        <w:t>Energy and Climate Change</w:t>
      </w:r>
      <w:r>
        <w:t xml:space="preserve">, Vol. 6. </w:t>
      </w:r>
    </w:p>
    <w:p w14:paraId="0A15F88F" w14:textId="77777777" w:rsidR="003F6107" w:rsidRDefault="00000000">
      <w:pPr>
        <w:ind w:left="370" w:right="18" w:firstLine="0"/>
      </w:pPr>
      <w:r>
        <w:rPr>
          <w:b/>
        </w:rPr>
        <w:t>McCollum, D.L.</w:t>
      </w:r>
      <w:r>
        <w:t xml:space="preserve"> (2025). “Collaborative energy and land use planning,” </w:t>
      </w:r>
      <w:r>
        <w:rPr>
          <w:sz w:val="21"/>
        </w:rPr>
        <w:t>Nature Sustainability</w:t>
      </w:r>
      <w:r>
        <w:t xml:space="preserve">. </w:t>
      </w:r>
    </w:p>
    <w:p w14:paraId="07ED3F33" w14:textId="77777777" w:rsidR="003F6107" w:rsidRDefault="00000000">
      <w:pPr>
        <w:ind w:left="370" w:right="18" w:firstLine="0"/>
      </w:pPr>
      <w:r>
        <w:t xml:space="preserve">National Academies of Sciences, Engineering, and Medicine (2025). “U.S. Research Data Summit: Strengthening </w:t>
      </w:r>
    </w:p>
    <w:p w14:paraId="339E3250" w14:textId="77777777" w:rsidR="003F6107" w:rsidRDefault="00000000">
      <w:pPr>
        <w:ind w:left="720" w:right="18" w:firstLine="0"/>
      </w:pPr>
      <w:r>
        <w:t xml:space="preserve">Cooperation Across Organizations and Sectors: Proceedings of a Workshop,” Washington, DC: The National Academies Press. https://doi.org/10.17226/29064. </w:t>
      </w:r>
    </w:p>
    <w:p w14:paraId="56FCF609" w14:textId="77777777" w:rsidR="003F6107" w:rsidRDefault="00000000">
      <w:pPr>
        <w:ind w:left="721" w:right="18"/>
      </w:pPr>
      <w:r>
        <w:lastRenderedPageBreak/>
        <w:t xml:space="preserve">Zhou, R., M. Jin, Z. Li, Y. Xiao, </w:t>
      </w:r>
      <w:r>
        <w:rPr>
          <w:b/>
        </w:rPr>
        <w:t>D. McCollum</w:t>
      </w:r>
      <w:r>
        <w:t>, and A. Li (2025). “Techno-economic analysis and network design for CO</w:t>
      </w:r>
      <w:r>
        <w:rPr>
          <w:rFonts w:ascii="Cambria Math" w:eastAsia="Cambria Math" w:hAnsi="Cambria Math" w:cs="Cambria Math"/>
          <w:sz w:val="31"/>
          <w:vertAlign w:val="subscript"/>
        </w:rPr>
        <w:t>₂</w:t>
      </w:r>
      <w:r>
        <w:t xml:space="preserve"> conversion to jet fuels in the United States,” </w:t>
      </w:r>
      <w:r>
        <w:rPr>
          <w:sz w:val="21"/>
        </w:rPr>
        <w:t>Renewable and Sustainable Energy Reviews</w:t>
      </w:r>
      <w:r>
        <w:t xml:space="preserve">, Vol. 210. </w:t>
      </w:r>
    </w:p>
    <w:p w14:paraId="4177A258" w14:textId="77777777" w:rsidR="003F6107" w:rsidRDefault="00000000">
      <w:pPr>
        <w:ind w:left="721" w:right="18"/>
      </w:pPr>
      <w:r>
        <w:t xml:space="preserve">Loughlin, D.H., A.R. Barron, C.B. Chettri, A. O’Meara, L. Sarmiento, D. Dong, </w:t>
      </w:r>
      <w:r>
        <w:rPr>
          <w:b/>
        </w:rPr>
        <w:t>D.L. McCollum</w:t>
      </w:r>
      <w:r>
        <w:t xml:space="preserve"> et al. (2024). “Health and Air Pollutant Emission Impacts of Net Zero CO</w:t>
      </w:r>
      <w:r>
        <w:rPr>
          <w:sz w:val="18"/>
          <w:vertAlign w:val="subscript"/>
        </w:rPr>
        <w:t>2</w:t>
      </w:r>
      <w:r>
        <w:t xml:space="preserve"> by 2050: Scenarios from the Energy Modeling Forum 37 Study,” </w:t>
      </w:r>
      <w:r>
        <w:rPr>
          <w:sz w:val="21"/>
        </w:rPr>
        <w:t>Energy and Climate Change</w:t>
      </w:r>
      <w:r>
        <w:t xml:space="preserve">, Vol. 5. </w:t>
      </w:r>
    </w:p>
    <w:p w14:paraId="259BD31A" w14:textId="77777777" w:rsidR="003F6107" w:rsidRDefault="00000000">
      <w:pPr>
        <w:ind w:left="370" w:right="18" w:firstLine="0"/>
      </w:pPr>
      <w:r>
        <w:t xml:space="preserve">Melaina, M.W., C.S. Lenox, M. Browning, </w:t>
      </w:r>
      <w:r>
        <w:rPr>
          <w:b/>
        </w:rPr>
        <w:t>D.L. McCollum</w:t>
      </w:r>
      <w:r>
        <w:t xml:space="preserve">, O. Bahn, and S. Ou (2024). “Modeling hydrogen markets: </w:t>
      </w:r>
    </w:p>
    <w:p w14:paraId="65FE4AB5" w14:textId="77777777" w:rsidR="003F6107" w:rsidRDefault="00000000">
      <w:pPr>
        <w:spacing w:after="5" w:line="269" w:lineRule="auto"/>
        <w:ind w:left="391" w:right="0" w:hanging="10"/>
        <w:jc w:val="center"/>
      </w:pPr>
      <w:r>
        <w:t xml:space="preserve">Energy system model development status and decarbonization scenario results,” </w:t>
      </w:r>
      <w:r>
        <w:rPr>
          <w:sz w:val="21"/>
        </w:rPr>
        <w:t>Energy and Climate Change</w:t>
      </w:r>
      <w:r>
        <w:t xml:space="preserve">, Vol. 5. </w:t>
      </w:r>
    </w:p>
    <w:p w14:paraId="6784FFC8" w14:textId="77777777" w:rsidR="003F6107" w:rsidRDefault="00000000">
      <w:pPr>
        <w:ind w:left="721" w:right="18"/>
      </w:pPr>
      <w:r>
        <w:t xml:space="preserve">Mach, K.J., K. Jagannathan, L., Shi, L.L. Turek-Hankins, J.R. Arnold, C. Brelsford, A.N. Flores, J. Gao, C.E. Martin, </w:t>
      </w:r>
      <w:r>
        <w:rPr>
          <w:b/>
        </w:rPr>
        <w:t>D.L. McCollum</w:t>
      </w:r>
      <w:r>
        <w:t xml:space="preserve">, R. Moss, J. Niemann, B. Rashleigh, and P.M. Reed (2024). “Research to confront climate change complexity: Intersectionality, integration, and innovative governance,” </w:t>
      </w:r>
      <w:r>
        <w:rPr>
          <w:sz w:val="21"/>
        </w:rPr>
        <w:t>Earth’s Future</w:t>
      </w:r>
      <w:r>
        <w:t xml:space="preserve">, 12. </w:t>
      </w:r>
    </w:p>
    <w:p w14:paraId="7455896C" w14:textId="77777777" w:rsidR="003F6107" w:rsidRDefault="00000000">
      <w:pPr>
        <w:ind w:left="721" w:right="18"/>
      </w:pPr>
      <w:r>
        <w:t xml:space="preserve">Bento, N., A. Grubler, B. Boza-Kiss, S. De Stercke, V. Krey, </w:t>
      </w:r>
      <w:r>
        <w:rPr>
          <w:b/>
        </w:rPr>
        <w:t>D.L. McCollum</w:t>
      </w:r>
      <w:r>
        <w:t xml:space="preserve">, C. Zimm, and T. Alves (2024). “Leverage demand-side policies for energy security,” </w:t>
      </w:r>
      <w:r>
        <w:rPr>
          <w:sz w:val="21"/>
        </w:rPr>
        <w:t>Science</w:t>
      </w:r>
      <w:r>
        <w:t xml:space="preserve">, 383 (6686), 946-949. </w:t>
      </w:r>
    </w:p>
    <w:p w14:paraId="1085F869" w14:textId="77777777" w:rsidR="003F6107" w:rsidRDefault="00000000">
      <w:pPr>
        <w:ind w:left="721" w:right="18"/>
      </w:pPr>
      <w:r>
        <w:t xml:space="preserve">Brown, M. A., P. E. Thornton, R. L. Gruber, S. Hubbard, M. Lapsa, E. Lara-Curzio, T. C. Lieuwen, </w:t>
      </w:r>
      <w:r>
        <w:rPr>
          <w:b/>
        </w:rPr>
        <w:t>D. McCollum</w:t>
      </w:r>
      <w:r>
        <w:t xml:space="preserve">, M. Oxman, D. Stanton, M. Twardy, and R. Wagner (2024). “2023 Southeast Decarbonization Workshop - Activating science, business, and  community partnerships,” Oak Ridge National Laboratory. ORNL/TM-2024/3470. </w:t>
      </w:r>
    </w:p>
    <w:p w14:paraId="7E979780" w14:textId="77777777" w:rsidR="003F6107" w:rsidRDefault="00000000">
      <w:pPr>
        <w:ind w:left="721" w:right="18"/>
      </w:pPr>
      <w:r>
        <w:t xml:space="preserve">Bistline, J.E.T. G. Blanford, J. Grant, E. Knipping, </w:t>
      </w:r>
      <w:r>
        <w:rPr>
          <w:b/>
        </w:rPr>
        <w:t>D.L McCollum</w:t>
      </w:r>
      <w:r>
        <w:t xml:space="preserve"> et al. (2022). “Economy-wide evaluation of CO2 and air quality impacts of electrification in the United States,” </w:t>
      </w:r>
      <w:r>
        <w:rPr>
          <w:sz w:val="21"/>
        </w:rPr>
        <w:t>Nature Communications</w:t>
      </w:r>
      <w:r>
        <w:t xml:space="preserve"> (13:1), 1-12. </w:t>
      </w:r>
    </w:p>
    <w:p w14:paraId="189C1505" w14:textId="77777777" w:rsidR="003F6107" w:rsidRDefault="00000000">
      <w:pPr>
        <w:ind w:left="721" w:right="18"/>
      </w:pPr>
      <w:r>
        <w:t xml:space="preserve">Zakeri, B., K. Paulavets, L. Barreto-Gomez, L. Gomez Echeverri, S. Pachauri, B. Boza-Kiss, C. Zimm, J. Rogelj, F. Creutzig, D. Ürge-Vorsatz, D.G. Victor, M.D. Bazilian, S. Fritz, D. Gielen, </w:t>
      </w:r>
      <w:r>
        <w:rPr>
          <w:b/>
        </w:rPr>
        <w:t>D.L. McCollum</w:t>
      </w:r>
      <w:r>
        <w:t xml:space="preserve">, L. Srivastava, J.D. Hunt, and S. Pouya (2022). “Pandemic, War, and Global Energy Transitions,” </w:t>
      </w:r>
      <w:r>
        <w:rPr>
          <w:sz w:val="21"/>
        </w:rPr>
        <w:t>Energies</w:t>
      </w:r>
      <w:r>
        <w:t xml:space="preserve">, 15 (17). </w:t>
      </w:r>
    </w:p>
    <w:p w14:paraId="36DF1C89" w14:textId="77777777" w:rsidR="003F6107" w:rsidRDefault="00000000">
      <w:pPr>
        <w:ind w:left="721" w:right="18"/>
      </w:pPr>
      <w:r>
        <w:t xml:space="preserve">Yeh, S., J. Gil, P. Kyle, P. Kishimoto, P. Cazzola, M. Craglia, O. Edelenbosch, P. Fragkos, L. Fulton, Y. Liao, L. Martinez, </w:t>
      </w:r>
      <w:r>
        <w:rPr>
          <w:b/>
        </w:rPr>
        <w:t>D.L. McCollum</w:t>
      </w:r>
      <w:r>
        <w:t xml:space="preserve">, J. Miller, R. Pereira, and J. Teter (2022). “Improving future travel demand projections: a pathway with an open science interdisciplinary approach,” </w:t>
      </w:r>
      <w:r>
        <w:rPr>
          <w:sz w:val="21"/>
        </w:rPr>
        <w:t>Progress in Energy</w:t>
      </w:r>
      <w:r>
        <w:t xml:space="preserve">, 4. </w:t>
      </w:r>
    </w:p>
    <w:p w14:paraId="285684B2" w14:textId="77777777" w:rsidR="003F6107" w:rsidRDefault="00000000">
      <w:pPr>
        <w:spacing w:after="9"/>
        <w:ind w:left="711" w:right="199" w:hanging="341"/>
        <w:jc w:val="both"/>
      </w:pPr>
      <w:r>
        <w:t>IPCC Working Group III Contribution to the 6</w:t>
      </w:r>
      <w:r>
        <w:rPr>
          <w:sz w:val="18"/>
          <w:vertAlign w:val="superscript"/>
        </w:rPr>
        <w:t>th</w:t>
      </w:r>
      <w:r>
        <w:t xml:space="preserve"> Assessment Report (2022) - Lead Author for </w:t>
      </w:r>
      <w:r>
        <w:rPr>
          <w:sz w:val="21"/>
        </w:rPr>
        <w:t>Summary for Policymakers</w:t>
      </w:r>
      <w:r>
        <w:t xml:space="preserve"> and </w:t>
      </w:r>
      <w:r>
        <w:rPr>
          <w:sz w:val="21"/>
        </w:rPr>
        <w:t>Technical Summary</w:t>
      </w:r>
      <w:r>
        <w:t xml:space="preserve">; and Contributing Author for </w:t>
      </w:r>
      <w:r>
        <w:rPr>
          <w:sz w:val="21"/>
        </w:rPr>
        <w:t>Chapter 3 (Mitigation Pathways Compatible with Long-term Goals)</w:t>
      </w:r>
      <w:r>
        <w:t xml:space="preserve">, </w:t>
      </w:r>
      <w:r>
        <w:rPr>
          <w:sz w:val="21"/>
        </w:rPr>
        <w:t>Chapter 6 (Energy Systems)</w:t>
      </w:r>
      <w:r>
        <w:t xml:space="preserve">, and </w:t>
      </w:r>
      <w:r>
        <w:rPr>
          <w:sz w:val="21"/>
        </w:rPr>
        <w:t>Annex III (Scenarios and Modelling Methods)</w:t>
      </w:r>
      <w:r>
        <w:t xml:space="preserve"> </w:t>
      </w:r>
    </w:p>
    <w:p w14:paraId="1A2D5ABC" w14:textId="77777777" w:rsidR="003F6107" w:rsidRDefault="00000000">
      <w:pPr>
        <w:ind w:left="721" w:right="18"/>
      </w:pPr>
      <w:r>
        <w:t xml:space="preserve">Bhardwaj, C., J. Axsen, and </w:t>
      </w:r>
      <w:r>
        <w:rPr>
          <w:b/>
        </w:rPr>
        <w:t>D. McCollum</w:t>
      </w:r>
      <w:r>
        <w:t xml:space="preserve"> (2022). “Which ‘Second-best’ Climate Policies Are Best? Simulating Costeffective Policy Mixes for Passenger Vehicles,” </w:t>
      </w:r>
      <w:r>
        <w:rPr>
          <w:sz w:val="21"/>
        </w:rPr>
        <w:t>Resource and Energy Economics</w:t>
      </w:r>
      <w:r>
        <w:t xml:space="preserve">, 101319. </w:t>
      </w:r>
    </w:p>
    <w:p w14:paraId="58FEAF5E" w14:textId="77777777" w:rsidR="003F6107" w:rsidRDefault="00000000">
      <w:pPr>
        <w:ind w:left="721" w:right="18"/>
      </w:pPr>
      <w:r>
        <w:t xml:space="preserve">Bhardwaj, C., J. Axsen, and </w:t>
      </w:r>
      <w:r>
        <w:rPr>
          <w:b/>
        </w:rPr>
        <w:t>D. McCollum</w:t>
      </w:r>
      <w:r>
        <w:t xml:space="preserve"> (2022). “How to design a zero-emissions vehicle mandate? Simulating impacts on sales, GHG emissions and cost-effectiveness using the AUtomaker-Consumer Model (AUM),” </w:t>
      </w:r>
      <w:r>
        <w:rPr>
          <w:sz w:val="21"/>
        </w:rPr>
        <w:t>Transport Policy</w:t>
      </w:r>
      <w:r>
        <w:t xml:space="preserve"> (117). </w:t>
      </w:r>
    </w:p>
    <w:p w14:paraId="3D9A9785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 and A. Al Khourdajie (2021), “Little room for new fossil fuel development if global temperatures are to stay below 1.5°C,” </w:t>
      </w:r>
      <w:r>
        <w:rPr>
          <w:sz w:val="21"/>
        </w:rPr>
        <w:t>Joule</w:t>
      </w:r>
      <w:r>
        <w:t xml:space="preserve">, Vol. 5, Issue 10, 2542-2545. </w:t>
      </w:r>
    </w:p>
    <w:p w14:paraId="6EB39225" w14:textId="77777777" w:rsidR="003F6107" w:rsidRDefault="00000000">
      <w:pPr>
        <w:ind w:left="370" w:right="18" w:firstLine="0"/>
      </w:pPr>
      <w:r>
        <w:t xml:space="preserve">Skea, J., P. Shukla, A. Al Khourdajie, and </w:t>
      </w:r>
      <w:r>
        <w:rPr>
          <w:b/>
        </w:rPr>
        <w:t>D. McCollum</w:t>
      </w:r>
      <w:r>
        <w:t xml:space="preserve"> (2021), “Intergovernmental Panel on Climate Change: </w:t>
      </w:r>
    </w:p>
    <w:p w14:paraId="79FA848F" w14:textId="77777777" w:rsidR="003F6107" w:rsidRDefault="00000000">
      <w:pPr>
        <w:ind w:left="370" w:right="18" w:firstLine="360"/>
      </w:pPr>
      <w:r>
        <w:t xml:space="preserve">Transparency and integrated assessment modeling,” </w:t>
      </w:r>
      <w:r>
        <w:rPr>
          <w:sz w:val="21"/>
        </w:rPr>
        <w:t>Wiley Interdisciplinary Reviews: Climate Change</w:t>
      </w:r>
      <w:r>
        <w:t xml:space="preserve">, Vol. 12, Issue 5. </w:t>
      </w:r>
      <w:r>
        <w:rPr>
          <w:b/>
        </w:rPr>
        <w:t>McCollum, D.L.</w:t>
      </w:r>
      <w:r>
        <w:t xml:space="preserve"> (2021). “Machine learning for energy projections,” </w:t>
      </w:r>
      <w:r>
        <w:rPr>
          <w:sz w:val="21"/>
        </w:rPr>
        <w:t>Nature Energy</w:t>
      </w:r>
      <w:r>
        <w:t xml:space="preserve">. </w:t>
      </w:r>
    </w:p>
    <w:p w14:paraId="1ABC4A2D" w14:textId="77777777" w:rsidR="003F6107" w:rsidRDefault="00000000">
      <w:pPr>
        <w:ind w:left="721" w:right="18"/>
      </w:pPr>
      <w:r>
        <w:t xml:space="preserve">Bistline, J.E.T., C.W. Roney, </w:t>
      </w:r>
      <w:r>
        <w:rPr>
          <w:b/>
        </w:rPr>
        <w:t>D.L. McCollum</w:t>
      </w:r>
      <w:r>
        <w:t xml:space="preserve">, and G.J. Blanford (2021). “Deep decarbonization impacts on electric load shapes and peak demand,” </w:t>
      </w:r>
      <w:r>
        <w:rPr>
          <w:sz w:val="21"/>
        </w:rPr>
        <w:t>Environmental Research Letters</w:t>
      </w:r>
      <w:r>
        <w:t xml:space="preserve">. </w:t>
      </w:r>
    </w:p>
    <w:p w14:paraId="44766D4D" w14:textId="77777777" w:rsidR="003F6107" w:rsidRDefault="00000000">
      <w:pPr>
        <w:ind w:left="721" w:right="18"/>
      </w:pPr>
      <w:r>
        <w:t xml:space="preserve">Bhardwaj, C., J. Axsen, and </w:t>
      </w:r>
      <w:r>
        <w:rPr>
          <w:b/>
        </w:rPr>
        <w:t>D. McCollum</w:t>
      </w:r>
      <w:r>
        <w:t xml:space="preserve"> (2021). “Simulating automakers’ response to zero emissions vehicle regulation,” </w:t>
      </w:r>
      <w:r>
        <w:rPr>
          <w:sz w:val="21"/>
        </w:rPr>
        <w:t>Transportation Research Part D: Transport and Environment</w:t>
      </w:r>
      <w:r>
        <w:t xml:space="preserve">, Vol. 94, 102789. </w:t>
      </w:r>
    </w:p>
    <w:p w14:paraId="0E4BEB5B" w14:textId="77777777" w:rsidR="003F6107" w:rsidRDefault="00000000">
      <w:pPr>
        <w:ind w:left="721" w:right="18"/>
      </w:pPr>
      <w:r>
        <w:t xml:space="preserve">Knighton, L.T. et al. (2021). “Techno-Economic Analysis of Product Diversification Options for Sustainability of the Monticello and Prairie Island Nuclear Power Plants,” INL/EXT-21-62563-Rev001. US-DOE Office of Nuclear Energy. </w:t>
      </w:r>
    </w:p>
    <w:p w14:paraId="1190C75F" w14:textId="77777777" w:rsidR="003F6107" w:rsidRDefault="00000000">
      <w:pPr>
        <w:ind w:left="721" w:right="18"/>
      </w:pPr>
      <w:r>
        <w:t xml:space="preserve">DeCarolis, J.F., P. Jaromillo, J.X. Johnson, </w:t>
      </w:r>
      <w:r>
        <w:rPr>
          <w:b/>
        </w:rPr>
        <w:t>D.L. McCollum</w:t>
      </w:r>
      <w:r>
        <w:t xml:space="preserve"> et al. (2020). “Leveraging Open-Source Tools for Collaborative Macro-energy System Modeling Efforts,” </w:t>
      </w:r>
      <w:r>
        <w:rPr>
          <w:sz w:val="21"/>
        </w:rPr>
        <w:t>Joule</w:t>
      </w:r>
      <w:r>
        <w:t xml:space="preserve">, 4 (12), 2523-2526.  </w:t>
      </w:r>
    </w:p>
    <w:p w14:paraId="7A3D3BA9" w14:textId="77777777" w:rsidR="003F6107" w:rsidRDefault="00000000">
      <w:pPr>
        <w:ind w:left="721" w:right="18"/>
      </w:pPr>
      <w:r>
        <w:t xml:space="preserve">Andrijevic, M., C.F. Schleussner, M.J. Gidden, </w:t>
      </w:r>
      <w:r>
        <w:rPr>
          <w:b/>
        </w:rPr>
        <w:t>D.L. McCollum</w:t>
      </w:r>
      <w:r>
        <w:t xml:space="preserve">, and J. Rogelj (2020). “COVID-19 recovery funds dwarf clean energy investment needs,” </w:t>
      </w:r>
      <w:r>
        <w:rPr>
          <w:sz w:val="21"/>
        </w:rPr>
        <w:t>Science</w:t>
      </w:r>
      <w:r>
        <w:t xml:space="preserve">, 370 (6514), 298-300. </w:t>
      </w:r>
    </w:p>
    <w:p w14:paraId="1A26AC6C" w14:textId="77777777" w:rsidR="003F6107" w:rsidRDefault="00000000">
      <w:pPr>
        <w:ind w:left="721" w:right="18"/>
      </w:pPr>
      <w:r>
        <w:rPr>
          <w:b/>
        </w:rPr>
        <w:t>McCollum, D.</w:t>
      </w:r>
      <w:r>
        <w:t xml:space="preserve">, A. Gambhir, J. Rogelj, and C. Wilson (2020). “Energy modellers should explore extremes more systematically in scenarios,” </w:t>
      </w:r>
      <w:r>
        <w:rPr>
          <w:sz w:val="21"/>
        </w:rPr>
        <w:t>Nature Energy</w:t>
      </w:r>
      <w:r>
        <w:t xml:space="preserve"> 5 (2), 104-107. </w:t>
      </w:r>
    </w:p>
    <w:p w14:paraId="58B15F9C" w14:textId="77777777" w:rsidR="003F6107" w:rsidRDefault="00000000">
      <w:pPr>
        <w:ind w:left="721" w:right="18"/>
      </w:pPr>
      <w:r>
        <w:t xml:space="preserve">Zhou, W., </w:t>
      </w:r>
      <w:r>
        <w:rPr>
          <w:b/>
        </w:rPr>
        <w:t>D.L. McCollum</w:t>
      </w:r>
      <w:r>
        <w:t xml:space="preserve"> et al. (2020). “Decarbonization pathways and energy investment needs for developing Asia in line with well below 2 °C,” </w:t>
      </w:r>
      <w:r>
        <w:rPr>
          <w:sz w:val="21"/>
        </w:rPr>
        <w:t>Climate Policy</w:t>
      </w:r>
      <w:r>
        <w:t xml:space="preserve"> 20 (2), 232-245. </w:t>
      </w:r>
    </w:p>
    <w:p w14:paraId="27ADBC3D" w14:textId="77777777" w:rsidR="003F6107" w:rsidRDefault="00000000">
      <w:pPr>
        <w:spacing w:after="5" w:line="269" w:lineRule="auto"/>
        <w:ind w:left="211" w:right="0" w:hanging="10"/>
        <w:jc w:val="center"/>
      </w:pPr>
      <w:r>
        <w:t xml:space="preserve">Bhardwaj, C., J. Axsen, F. Kern, </w:t>
      </w:r>
      <w:r>
        <w:rPr>
          <w:b/>
        </w:rPr>
        <w:t>D. McCollum</w:t>
      </w:r>
      <w:r>
        <w:t xml:space="preserve"> (2020). “Why have multiple climate policies for light-duty vehicles? Policy mix rationales, interactions and research gaps,” </w:t>
      </w:r>
      <w:r>
        <w:rPr>
          <w:sz w:val="21"/>
        </w:rPr>
        <w:t>Transportation Research Part A: Policy and Practice</w:t>
      </w:r>
      <w:r>
        <w:t xml:space="preserve"> (135), 309-326. </w:t>
      </w:r>
    </w:p>
    <w:p w14:paraId="4F1B3E76" w14:textId="77777777" w:rsidR="003F6107" w:rsidRDefault="00000000">
      <w:pPr>
        <w:ind w:left="721" w:right="18"/>
      </w:pPr>
      <w:r>
        <w:lastRenderedPageBreak/>
        <w:t xml:space="preserve">Zhou, W., </w:t>
      </w:r>
      <w:r>
        <w:rPr>
          <w:b/>
        </w:rPr>
        <w:t>D. McCollum</w:t>
      </w:r>
      <w:r>
        <w:t xml:space="preserve"> et al. (2019). “A comparison of low carbon investment needs between China and Europe in stringent climate policy scenarios,” </w:t>
      </w:r>
      <w:r>
        <w:rPr>
          <w:sz w:val="21"/>
        </w:rPr>
        <w:t>Environmental Research Letters</w:t>
      </w:r>
      <w:r>
        <w:t xml:space="preserve"> 14 (5), 054017. </w:t>
      </w:r>
    </w:p>
    <w:p w14:paraId="63380796" w14:textId="77777777" w:rsidR="003F6107" w:rsidRDefault="00000000">
      <w:pPr>
        <w:ind w:left="721" w:right="18"/>
      </w:pPr>
      <w:r>
        <w:t xml:space="preserve">Parkinson, S., V. Krey, D. Huppmann, T. Kahil, </w:t>
      </w:r>
      <w:r>
        <w:rPr>
          <w:b/>
        </w:rPr>
        <w:t>D. McCollum</w:t>
      </w:r>
      <w:r>
        <w:t xml:space="preserve"> et al. (2019). “Balancing clean water-climate change mitigation tradeoffs,” </w:t>
      </w:r>
      <w:r>
        <w:rPr>
          <w:sz w:val="21"/>
        </w:rPr>
        <w:t>Environmental Research Letters</w:t>
      </w:r>
      <w:r>
        <w:t xml:space="preserve"> 14 (1): e014009. </w:t>
      </w:r>
    </w:p>
    <w:p w14:paraId="7787F3B5" w14:textId="77777777" w:rsidR="003F6107" w:rsidRDefault="00000000">
      <w:pPr>
        <w:ind w:left="721" w:right="18"/>
      </w:pPr>
      <w:r>
        <w:t xml:space="preserve">van den Berg, N.J., H.L. van Soest, A.F. Hof, M.G.J. den Elzen, D.P. van Vuuren, W. Chen, L. Drouet, J. Emmerling, S. Fujimori, N. Höhne, A.C. Kõberle, </w:t>
      </w:r>
      <w:r>
        <w:rPr>
          <w:b/>
        </w:rPr>
        <w:t>D. McCollum</w:t>
      </w:r>
      <w:r>
        <w:t xml:space="preserve"> et al. “Implications of various effort-sharing approaches for national carbon budgets and emission pathways,” </w:t>
      </w:r>
      <w:r>
        <w:rPr>
          <w:sz w:val="21"/>
        </w:rPr>
        <w:t>Climatic Change</w:t>
      </w:r>
      <w:r>
        <w:t xml:space="preserve">. </w:t>
      </w:r>
    </w:p>
    <w:p w14:paraId="359D6E60" w14:textId="77777777" w:rsidR="003F6107" w:rsidRDefault="00000000">
      <w:pPr>
        <w:ind w:left="721" w:right="18"/>
      </w:pPr>
      <w:r>
        <w:t xml:space="preserve">Edelenbosch, O.Y., </w:t>
      </w:r>
      <w:r>
        <w:rPr>
          <w:b/>
        </w:rPr>
        <w:t>D.L. McCollum</w:t>
      </w:r>
      <w:r>
        <w:t xml:space="preserve">, H. Pettifor, C. Wilson, and D.P. van Vuuren (2018). “Interactions between social learning and technological learning in electric vehicle futures,” </w:t>
      </w:r>
      <w:r>
        <w:rPr>
          <w:sz w:val="21"/>
        </w:rPr>
        <w:t>Environmental Research Letters</w:t>
      </w:r>
      <w:r>
        <w:t xml:space="preserve"> 13 (12): e124004. </w:t>
      </w:r>
    </w:p>
    <w:p w14:paraId="73A029DF" w14:textId="77777777" w:rsidR="003F6107" w:rsidRDefault="00000000">
      <w:pPr>
        <w:ind w:left="370" w:right="18" w:firstLine="0"/>
      </w:pPr>
      <w:r>
        <w:t xml:space="preserve">Weber, C, </w:t>
      </w:r>
      <w:r>
        <w:rPr>
          <w:b/>
        </w:rPr>
        <w:t>D.L. McCollum</w:t>
      </w:r>
      <w:r>
        <w:t xml:space="preserve"> et al. (2018). “Mitigation scenarios must cater to new users,” </w:t>
      </w:r>
      <w:r>
        <w:rPr>
          <w:sz w:val="21"/>
        </w:rPr>
        <w:t>Nature Climate Change</w:t>
      </w:r>
      <w:r>
        <w:t xml:space="preserve"> 8. </w:t>
      </w:r>
    </w:p>
    <w:p w14:paraId="62733769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C. Wilson et al. (2018). “Interaction of consumer preferences and climate policies in the global transition to low-carbon vehicles,” </w:t>
      </w:r>
      <w:r>
        <w:rPr>
          <w:sz w:val="21"/>
        </w:rPr>
        <w:t>Nature Energy</w:t>
      </w:r>
      <w:r>
        <w:t xml:space="preserve"> Vol. 3, 664–673. </w:t>
      </w:r>
    </w:p>
    <w:p w14:paraId="7921AA75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W. Zhou et al. (2018). “Energy investment needs for fulfilling the Paris Agreement and achieving the Sustainable Development Goals,” </w:t>
      </w:r>
      <w:r>
        <w:rPr>
          <w:sz w:val="21"/>
        </w:rPr>
        <w:t>Nature Energy</w:t>
      </w:r>
      <w:r>
        <w:t xml:space="preserve">, Vol. 3, 589-599. </w:t>
      </w:r>
    </w:p>
    <w:p w14:paraId="1B953940" w14:textId="77777777" w:rsidR="003F6107" w:rsidRDefault="00000000">
      <w:pPr>
        <w:ind w:left="721" w:right="18"/>
      </w:pPr>
      <w:r>
        <w:t xml:space="preserve">Grubler, A., C. Wilson, N. Bento, B. Boza-Kiss, V. Krey, </w:t>
      </w:r>
      <w:r>
        <w:rPr>
          <w:b/>
        </w:rPr>
        <w:t>D.L. McCollum</w:t>
      </w:r>
      <w:r>
        <w:t xml:space="preserve"> et al. (2018). “A Low Energy Demand Scenario for Meeting the 1.5°C Target and SDGs without Negative Emission Technologies,” </w:t>
      </w:r>
      <w:r>
        <w:rPr>
          <w:sz w:val="21"/>
        </w:rPr>
        <w:t>Nature Energy</w:t>
      </w:r>
      <w:r>
        <w:t xml:space="preserve">, Vol. 3, 515-527. </w:t>
      </w:r>
    </w:p>
    <w:p w14:paraId="46C2118F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L. Gomez Echeverri, S. Busch et al. (2018). “Connecting the Sustainable Development Goals by their energy inter-linkages,” </w:t>
      </w:r>
      <w:r>
        <w:rPr>
          <w:sz w:val="21"/>
        </w:rPr>
        <w:t>Environmental Research Letters</w:t>
      </w:r>
      <w:r>
        <w:t xml:space="preserve"> 1 (3). </w:t>
      </w:r>
    </w:p>
    <w:p w14:paraId="1E287577" w14:textId="77777777" w:rsidR="003F6107" w:rsidRDefault="00000000">
      <w:pPr>
        <w:ind w:left="721" w:right="18"/>
      </w:pPr>
      <w:r>
        <w:t xml:space="preserve">Jewell, J., </w:t>
      </w:r>
      <w:r>
        <w:rPr>
          <w:b/>
        </w:rPr>
        <w:t>D. McCollum</w:t>
      </w:r>
      <w:r>
        <w:t xml:space="preserve"> et al. (2018). “Limited emission reductions from fuel subsidy removal except in energy exporting regions,” </w:t>
      </w:r>
      <w:r>
        <w:rPr>
          <w:sz w:val="21"/>
        </w:rPr>
        <w:t>Nature</w:t>
      </w:r>
      <w:r>
        <w:t xml:space="preserve">, 554: 229-233. </w:t>
      </w:r>
    </w:p>
    <w:p w14:paraId="112F19E5" w14:textId="77777777" w:rsidR="003F6107" w:rsidRDefault="00000000">
      <w:pPr>
        <w:ind w:left="721" w:right="18"/>
      </w:pPr>
      <w:r>
        <w:rPr>
          <w:b/>
        </w:rPr>
        <w:t>McCollum, D.</w:t>
      </w:r>
      <w:r>
        <w:t xml:space="preserve">, L. Gomez Echeverri, K. Riahi, and S. Parkinson (2017). “SDG7: Ensure Access to Affordable, Reliable, Sustainable and Modern Energy for All”, In: A guide to SDG interactions: from science to implementation. Eds. Griggs, D.J., M. Nilsson, A.S. Stevance, and D. McCollum, pp. 127-173 International Council for Science, Paris. </w:t>
      </w:r>
    </w:p>
    <w:p w14:paraId="57011A7E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C. Wilson et al. (2017). “Improving the behavioral realism of global integrated assessment models: An application to consumers’ vehicle choices,” </w:t>
      </w:r>
      <w:r>
        <w:rPr>
          <w:sz w:val="21"/>
        </w:rPr>
        <w:t>Transportation Research Part D: Transport and Environment</w:t>
      </w:r>
      <w:r>
        <w:t xml:space="preserve"> 55: 322-342. </w:t>
      </w:r>
    </w:p>
    <w:p w14:paraId="6062255E" w14:textId="77777777" w:rsidR="003F6107" w:rsidRDefault="00000000">
      <w:pPr>
        <w:ind w:left="721" w:right="18"/>
      </w:pPr>
      <w:r>
        <w:t xml:space="preserve">Edelenbosch, O.Y., </w:t>
      </w:r>
      <w:r>
        <w:rPr>
          <w:b/>
        </w:rPr>
        <w:t>D.L. McCollum</w:t>
      </w:r>
      <w:r>
        <w:t xml:space="preserve"> et al. (2017). “Decomposing passenger transport futures: comparing results of global integrated assessment models,” </w:t>
      </w:r>
      <w:r>
        <w:rPr>
          <w:sz w:val="21"/>
        </w:rPr>
        <w:t>Transportation Research Part D: Transport and Environment</w:t>
      </w:r>
      <w:r>
        <w:t xml:space="preserve"> 55: 281-293. </w:t>
      </w:r>
    </w:p>
    <w:p w14:paraId="30407FEF" w14:textId="77777777" w:rsidR="003F6107" w:rsidRDefault="00000000">
      <w:pPr>
        <w:ind w:left="721" w:right="18"/>
      </w:pPr>
      <w:r>
        <w:t xml:space="preserve">Pettifor, H., C. Wilson, </w:t>
      </w:r>
      <w:r>
        <w:rPr>
          <w:b/>
        </w:rPr>
        <w:t>D.L. McCollum</w:t>
      </w:r>
      <w:r>
        <w:t xml:space="preserve">, and O.Y. Edelenbosch (2017). “Modelling social influence and cultural variation in global low-carbon vehicle transitions”, </w:t>
      </w:r>
      <w:r>
        <w:rPr>
          <w:sz w:val="21"/>
        </w:rPr>
        <w:t>Global Environmental Change</w:t>
      </w:r>
      <w:r>
        <w:t xml:space="preserve"> 47: 76-87. </w:t>
      </w:r>
    </w:p>
    <w:p w14:paraId="3578C62C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J. Jewell et al. (2016). “Quantifying uncertainties influencing the long-term impacts of oil prices on energy markets and carbon emissions,” </w:t>
      </w:r>
      <w:r>
        <w:rPr>
          <w:sz w:val="21"/>
        </w:rPr>
        <w:t>Nature Energy</w:t>
      </w:r>
      <w:r>
        <w:t xml:space="preserve">, Vol. 1, Issue 6, Article number: 16077. </w:t>
      </w:r>
    </w:p>
    <w:p w14:paraId="7557515C" w14:textId="77777777" w:rsidR="003F6107" w:rsidRDefault="00000000">
      <w:pPr>
        <w:ind w:left="721" w:right="18"/>
      </w:pPr>
      <w:r>
        <w:t xml:space="preserve">Jewell, J., V. Vinichenko, </w:t>
      </w:r>
      <w:r>
        <w:rPr>
          <w:b/>
        </w:rPr>
        <w:t>D. McCollum</w:t>
      </w:r>
      <w:r>
        <w:t xml:space="preserve"> et al. (2016). “Comparison and interactions between the long-term pursuit of energy independence and climate policies,” </w:t>
      </w:r>
      <w:r>
        <w:rPr>
          <w:sz w:val="21"/>
        </w:rPr>
        <w:t>Nature Energy</w:t>
      </w:r>
      <w:r>
        <w:t xml:space="preserve">, Vol. 1, Issue 6, Article number: 16073. </w:t>
      </w:r>
    </w:p>
    <w:p w14:paraId="31D92C49" w14:textId="77777777" w:rsidR="003F6107" w:rsidRDefault="00000000">
      <w:pPr>
        <w:ind w:left="721" w:right="18"/>
      </w:pPr>
      <w:r>
        <w:t xml:space="preserve">Cameron, C., S. Pachauri, N. Rao, </w:t>
      </w:r>
      <w:r>
        <w:rPr>
          <w:b/>
        </w:rPr>
        <w:t>D. McCollum</w:t>
      </w:r>
      <w:r>
        <w:t xml:space="preserve">, J. Rogelj, and K. Riahi (2016). “Policy tradeoffs between climate mitigation and clean cook stove access in South Asia,” </w:t>
      </w:r>
      <w:r>
        <w:rPr>
          <w:sz w:val="21"/>
        </w:rPr>
        <w:t>Nature Energy</w:t>
      </w:r>
      <w:r>
        <w:t xml:space="preserve">, Vol. 1, Issue 1, Article number: 15010. </w:t>
      </w:r>
    </w:p>
    <w:p w14:paraId="7384BBB7" w14:textId="77777777" w:rsidR="003F6107" w:rsidRDefault="00000000">
      <w:pPr>
        <w:ind w:left="370" w:right="18" w:firstLine="0"/>
      </w:pPr>
      <w:r>
        <w:t xml:space="preserve">Creutzig, F., P. Jochem, O.Y. Edelenbosch, L. Mattauch, D.P. van Vuuren, </w:t>
      </w:r>
      <w:r>
        <w:rPr>
          <w:b/>
        </w:rPr>
        <w:t>D. McCollum</w:t>
      </w:r>
      <w:r>
        <w:t xml:space="preserve">, and J. Minx (2015). </w:t>
      </w:r>
    </w:p>
    <w:p w14:paraId="46225B75" w14:textId="77777777" w:rsidR="003F6107" w:rsidRDefault="00000000">
      <w:pPr>
        <w:ind w:left="721" w:right="18" w:firstLine="0"/>
      </w:pPr>
      <w:r>
        <w:t xml:space="preserve">“Transport: A roadblock to climate change mitigation?,” </w:t>
      </w:r>
      <w:r>
        <w:rPr>
          <w:sz w:val="21"/>
        </w:rPr>
        <w:t>Science</w:t>
      </w:r>
      <w:r>
        <w:t xml:space="preserve">, Vol. 350, Issue 6263, 911-912. </w:t>
      </w:r>
    </w:p>
    <w:p w14:paraId="2F1B7AA3" w14:textId="77777777" w:rsidR="003F6107" w:rsidRDefault="00000000">
      <w:pPr>
        <w:ind w:left="721" w:right="18"/>
      </w:pPr>
      <w:r>
        <w:t xml:space="preserve">von Stechow, C., </w:t>
      </w:r>
      <w:r>
        <w:rPr>
          <w:b/>
        </w:rPr>
        <w:t>D. McCollum</w:t>
      </w:r>
      <w:r>
        <w:t xml:space="preserve"> et al. (2015). “Integrating Global Climate Change Mitigation Goals with Other Sustainability Objectives: A Synthesis,” </w:t>
      </w:r>
      <w:r>
        <w:rPr>
          <w:sz w:val="21"/>
        </w:rPr>
        <w:t>Annual Review of Environment and Resources</w:t>
      </w:r>
      <w:r>
        <w:t xml:space="preserve">, Vol. 40, 363-394. </w:t>
      </w:r>
    </w:p>
    <w:p w14:paraId="4C3C7E9B" w14:textId="77777777" w:rsidR="003F6107" w:rsidRDefault="00000000">
      <w:pPr>
        <w:ind w:left="721" w:right="18"/>
      </w:pPr>
      <w:r>
        <w:t xml:space="preserve">van Sluisveld, M.A.E., J.H.M. Harmsen, N. Bauer, </w:t>
      </w:r>
      <w:r>
        <w:rPr>
          <w:b/>
        </w:rPr>
        <w:t>D.L. McCollum</w:t>
      </w:r>
      <w:r>
        <w:t xml:space="preserve"> et al. (2015). “Comparing future patterns of energy system change in 2 °C scenarios with historically observed rates of change,” </w:t>
      </w:r>
      <w:r>
        <w:rPr>
          <w:sz w:val="21"/>
        </w:rPr>
        <w:t>Global Environmental Change</w:t>
      </w:r>
      <w:r>
        <w:t xml:space="preserve"> 35, 436-449. </w:t>
      </w:r>
    </w:p>
    <w:p w14:paraId="47D1CD69" w14:textId="77777777" w:rsidR="003F6107" w:rsidRDefault="00000000">
      <w:pPr>
        <w:ind w:left="721" w:right="18"/>
      </w:pPr>
      <w:r>
        <w:t xml:space="preserve">Lucas, P., J. Nielsen, K. Calvin, </w:t>
      </w:r>
      <w:r>
        <w:rPr>
          <w:b/>
        </w:rPr>
        <w:t>D.L. McCollum</w:t>
      </w:r>
      <w:r>
        <w:t xml:space="preserve"> et al. (2015). “Future energy system challenges for Africa: Insights from Integrated Assessment Models,” </w:t>
      </w:r>
      <w:r>
        <w:rPr>
          <w:sz w:val="21"/>
        </w:rPr>
        <w:t>Energy Policy</w:t>
      </w:r>
      <w:r>
        <w:t xml:space="preserve">, Vol. 86, 705-717. </w:t>
      </w:r>
    </w:p>
    <w:p w14:paraId="56C20B76" w14:textId="77777777" w:rsidR="003F6107" w:rsidRDefault="00000000">
      <w:pPr>
        <w:ind w:left="721" w:right="18"/>
      </w:pPr>
      <w:r>
        <w:t xml:space="preserve">Tavoni, M., E. Kriegler, K. Riahi, D.P. van Vuuren, T. Aboumahboub, A. Bowen, K. Calvin, E. Campiglio, T. Kober, J. Jewell, G. Luderer, G. Marangoni, </w:t>
      </w:r>
      <w:r>
        <w:rPr>
          <w:b/>
        </w:rPr>
        <w:t>D. McCollum</w:t>
      </w:r>
      <w:r>
        <w:t xml:space="preserve">, M. van Sluisveld, A. Zimmer, B. van der Zwaan (2015). “Post-2020 climate agreements in the major economies assessed in the light of global models,” </w:t>
      </w:r>
      <w:r>
        <w:rPr>
          <w:sz w:val="21"/>
        </w:rPr>
        <w:t>Nature Climate Change</w:t>
      </w:r>
      <w:r>
        <w:t xml:space="preserve"> 5, 119-126. </w:t>
      </w:r>
    </w:p>
    <w:p w14:paraId="6D3E914B" w14:textId="77777777" w:rsidR="003F6107" w:rsidRDefault="00000000">
      <w:pPr>
        <w:ind w:left="721" w:right="18"/>
      </w:pPr>
      <w:r>
        <w:t xml:space="preserve">Yang, C., S. Yeh, S. Zakerinia, K. Ramea, and </w:t>
      </w:r>
      <w:r>
        <w:rPr>
          <w:b/>
        </w:rPr>
        <w:t>D. McCollum</w:t>
      </w:r>
      <w:r>
        <w:t xml:space="preserve"> (2015). “Achieving California’s 80% greenhouse gas reduction target in 2050: Technology, policy and scenario analysis using CA-TIMES energy economic systems model,” </w:t>
      </w:r>
      <w:r>
        <w:rPr>
          <w:sz w:val="21"/>
        </w:rPr>
        <w:t>Energy Policy</w:t>
      </w:r>
      <w:r>
        <w:t xml:space="preserve">, Vol. 77, 118-130. </w:t>
      </w:r>
    </w:p>
    <w:p w14:paraId="1458EBE0" w14:textId="77777777" w:rsidR="003F6107" w:rsidRDefault="00000000">
      <w:pPr>
        <w:ind w:left="721" w:right="18"/>
      </w:pPr>
      <w:r>
        <w:t xml:space="preserve">Bauer, N., V. Bosetti, M. Hamdi-Cherif, A. Kitous, </w:t>
      </w:r>
      <w:r>
        <w:rPr>
          <w:b/>
        </w:rPr>
        <w:t>D. McCollum</w:t>
      </w:r>
      <w:r>
        <w:t xml:space="preserve"> et al. (2015). “CO</w:t>
      </w:r>
      <w:r>
        <w:rPr>
          <w:sz w:val="18"/>
          <w:vertAlign w:val="subscript"/>
        </w:rPr>
        <w:t>2</w:t>
      </w:r>
      <w:r>
        <w:t xml:space="preserve"> emission mitigation and fossil fuel markets: Dynamic and international aspects of climate policies,” </w:t>
      </w:r>
      <w:r>
        <w:rPr>
          <w:sz w:val="21"/>
        </w:rPr>
        <w:t>Technological Forecasting and Social Change</w:t>
      </w:r>
      <w:r>
        <w:t xml:space="preserve">, Vol. 90. </w:t>
      </w:r>
    </w:p>
    <w:p w14:paraId="325DACFE" w14:textId="77777777" w:rsidR="003F6107" w:rsidRDefault="00000000">
      <w:pPr>
        <w:ind w:left="721" w:right="18"/>
      </w:pPr>
      <w:r>
        <w:lastRenderedPageBreak/>
        <w:t xml:space="preserve">Johnson, N., V. Krey, </w:t>
      </w:r>
      <w:r>
        <w:rPr>
          <w:b/>
        </w:rPr>
        <w:t>D.L. McCollum</w:t>
      </w:r>
      <w:r>
        <w:t xml:space="preserve"> et al. (2015). “Stranded on a Low-Carbon Planet: Implications of Climate Policy for the Phase-out of Coal-based Power Plants,” </w:t>
      </w:r>
      <w:r>
        <w:rPr>
          <w:sz w:val="21"/>
        </w:rPr>
        <w:t>Technological Forecasting and Social Change</w:t>
      </w:r>
      <w:r>
        <w:t xml:space="preserve">, Vol. 90, Part A, 89-102. </w:t>
      </w:r>
    </w:p>
    <w:p w14:paraId="4EC26417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N. Bauer, K. Calvin, A. Kitous, and K. Riahi (2014). “Fossil resource and energy security dynamics in conventional and carbon-constrained worlds,” </w:t>
      </w:r>
      <w:r>
        <w:rPr>
          <w:sz w:val="21"/>
        </w:rPr>
        <w:t>Climatic Change</w:t>
      </w:r>
      <w:r>
        <w:t xml:space="preserve">, Vol. 123, Issue 3, 413-426. </w:t>
      </w:r>
    </w:p>
    <w:p w14:paraId="12869BB4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V. Krey, P. Kolp, Y. Nagai, and K. Riahi (2014). “Transport electrification: a key element for energy system transformation and climate stabilization,” </w:t>
      </w:r>
      <w:r>
        <w:rPr>
          <w:sz w:val="21"/>
        </w:rPr>
        <w:t>Climatic Change</w:t>
      </w:r>
      <w:r>
        <w:t xml:space="preserve">, Vol. 123, Issue 3, 651-664. </w:t>
      </w:r>
    </w:p>
    <w:p w14:paraId="510FF798" w14:textId="77777777" w:rsidR="003F6107" w:rsidRDefault="00000000">
      <w:pPr>
        <w:ind w:left="370" w:right="18" w:firstLine="0"/>
      </w:pPr>
      <w:r>
        <w:rPr>
          <w:b/>
        </w:rPr>
        <w:t>McCollum, D.L.</w:t>
      </w:r>
      <w:r>
        <w:t xml:space="preserve">, Y. Nagai, K. Riahi, G. Marangoni, K. Calvin, R. Pietzcker, J. van Vliet, and B. van der Zwaan (2013). </w:t>
      </w:r>
    </w:p>
    <w:p w14:paraId="6C9A6CB1" w14:textId="77777777" w:rsidR="003F6107" w:rsidRDefault="00000000">
      <w:pPr>
        <w:ind w:left="721" w:right="18" w:firstLine="0"/>
      </w:pPr>
      <w:r>
        <w:t xml:space="preserve">“Energy investments under climate policy: a comparison of global models,” </w:t>
      </w:r>
      <w:r>
        <w:rPr>
          <w:sz w:val="21"/>
        </w:rPr>
        <w:t>Climate Change Economics</w:t>
      </w:r>
      <w:r>
        <w:t xml:space="preserve">, Vol. 4, Issue 4. </w:t>
      </w:r>
    </w:p>
    <w:p w14:paraId="7B48A068" w14:textId="77777777" w:rsidR="003F6107" w:rsidRDefault="00000000">
      <w:pPr>
        <w:ind w:left="721" w:right="18"/>
      </w:pPr>
      <w:r>
        <w:t xml:space="preserve">Calvin, K., M. Wise, D. Klein, </w:t>
      </w:r>
      <w:r>
        <w:rPr>
          <w:b/>
        </w:rPr>
        <w:t>D. McCollum</w:t>
      </w:r>
      <w:r>
        <w:t xml:space="preserve"> et al. (2013). “A multi-model analysis of the regional and sectoral roles of bioenergy in near- and long-term CO2 emissions reduction,” </w:t>
      </w:r>
      <w:r>
        <w:rPr>
          <w:sz w:val="21"/>
        </w:rPr>
        <w:t>Climate Change Economics</w:t>
      </w:r>
      <w:r>
        <w:t xml:space="preserve">, Vol. 4, Issue 4. </w:t>
      </w:r>
    </w:p>
    <w:p w14:paraId="2C3EBB61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V. Krey, K. Riahi, P. Kolp, A. Grubler, M. Makowski, and N. Nakicenovic (2013). “Climate policies can help resolve energy security and air pollution challenges,” </w:t>
      </w:r>
      <w:r>
        <w:rPr>
          <w:sz w:val="21"/>
        </w:rPr>
        <w:t>Climatic Change</w:t>
      </w:r>
      <w:r>
        <w:t xml:space="preserve">, Vol. 119, Issue 2, 479-494. </w:t>
      </w:r>
    </w:p>
    <w:p w14:paraId="7DA74CFB" w14:textId="77777777" w:rsidR="003F6107" w:rsidRDefault="00000000">
      <w:pPr>
        <w:ind w:left="721" w:right="18"/>
      </w:pPr>
      <w:r>
        <w:t xml:space="preserve">Rogelj, J., </w:t>
      </w:r>
      <w:r>
        <w:rPr>
          <w:b/>
        </w:rPr>
        <w:t>D.L. McCollum</w:t>
      </w:r>
      <w:r>
        <w:t xml:space="preserve">, and K. Riahi (2013). “The UN’s ‘Sustainable Energy for All’ initiative is compatible with a warming limit of 2 °C,” </w:t>
      </w:r>
      <w:r>
        <w:rPr>
          <w:sz w:val="21"/>
        </w:rPr>
        <w:t>Nature Climate Change</w:t>
      </w:r>
      <w:r>
        <w:t xml:space="preserve">, Vol. 3, 545-551. </w:t>
      </w:r>
    </w:p>
    <w:p w14:paraId="164123BC" w14:textId="77777777" w:rsidR="003F6107" w:rsidRDefault="00000000">
      <w:pPr>
        <w:ind w:left="370" w:right="18" w:firstLine="0"/>
      </w:pPr>
      <w:r>
        <w:t xml:space="preserve">Rogelj, J., </w:t>
      </w:r>
      <w:r>
        <w:rPr>
          <w:b/>
        </w:rPr>
        <w:t>D.L. McCollum</w:t>
      </w:r>
      <w:r>
        <w:t xml:space="preserve"> et al. (2013). “Probabilistic cost estimates for climate change mitigation,” </w:t>
      </w:r>
      <w:r>
        <w:rPr>
          <w:sz w:val="21"/>
        </w:rPr>
        <w:t>Nature</w:t>
      </w:r>
      <w:r>
        <w:t xml:space="preserve">, Vol. 1. </w:t>
      </w:r>
    </w:p>
    <w:p w14:paraId="5C04A203" w14:textId="77777777" w:rsidR="003F6107" w:rsidRDefault="00000000">
      <w:pPr>
        <w:ind w:left="721" w:right="18"/>
      </w:pPr>
      <w:r>
        <w:t xml:space="preserve">Rogelj, J., </w:t>
      </w:r>
      <w:r>
        <w:rPr>
          <w:b/>
        </w:rPr>
        <w:t>D.L. McCollum</w:t>
      </w:r>
      <w:r>
        <w:t xml:space="preserve">, B.C. O’Neill, and K. Riahi (2013). “2020 emissions levels required to limit warming to below 2°C,” </w:t>
      </w:r>
      <w:r>
        <w:rPr>
          <w:sz w:val="21"/>
        </w:rPr>
        <w:t>Nature Climate Change</w:t>
      </w:r>
      <w:r>
        <w:t xml:space="preserve">, Vol. 3, 405-412. </w:t>
      </w:r>
    </w:p>
    <w:p w14:paraId="38C82834" w14:textId="77777777" w:rsidR="003F6107" w:rsidRDefault="00000000">
      <w:pPr>
        <w:ind w:left="721" w:right="18"/>
      </w:pPr>
      <w:r>
        <w:rPr>
          <w:b/>
        </w:rPr>
        <w:t>McCollum, D.L.</w:t>
      </w:r>
      <w:r>
        <w:t xml:space="preserve">, V. Krey, and K. Riahi (2012). “Beyond Rio: Sustainable energy scenarios for the 21st century,” </w:t>
      </w:r>
      <w:r>
        <w:rPr>
          <w:sz w:val="21"/>
        </w:rPr>
        <w:t>Natural Resources Forum</w:t>
      </w:r>
      <w:r>
        <w:t xml:space="preserve">, Vol. 36, Issue 4, 215-230. </w:t>
      </w:r>
    </w:p>
    <w:p w14:paraId="71BB27EE" w14:textId="77777777" w:rsidR="003F6107" w:rsidRDefault="00000000">
      <w:pPr>
        <w:ind w:left="370" w:right="18" w:firstLine="0"/>
      </w:pPr>
      <w:r>
        <w:rPr>
          <w:b/>
        </w:rPr>
        <w:t>McCollum, D.L.</w:t>
      </w:r>
      <w:r>
        <w:t xml:space="preserve"> et al. (2011). “An integrated approach to energy sustainability,” </w:t>
      </w:r>
      <w:r>
        <w:rPr>
          <w:sz w:val="21"/>
        </w:rPr>
        <w:t>Nature Climate Change</w:t>
      </w:r>
      <w:r>
        <w:t xml:space="preserve">, Vol. 1. </w:t>
      </w:r>
    </w:p>
    <w:p w14:paraId="33F7DBE2" w14:textId="77777777" w:rsidR="003F6107" w:rsidRDefault="00000000">
      <w:pPr>
        <w:ind w:left="721" w:right="18"/>
      </w:pPr>
      <w:r>
        <w:rPr>
          <w:b/>
        </w:rPr>
        <w:t>McCollum, D.</w:t>
      </w:r>
      <w:r>
        <w:t xml:space="preserve">, G. Gould, and D. Greene (2009). “Greenhouse Gas Emissions from Aviation and Marine Transportation: Mitigation Potential and Policies,” Pew Center on Global Climate Change. </w:t>
      </w:r>
    </w:p>
    <w:p w14:paraId="46BB41B2" w14:textId="77777777" w:rsidR="003F6107" w:rsidRDefault="00000000">
      <w:pPr>
        <w:ind w:left="721" w:right="18"/>
      </w:pPr>
      <w:r>
        <w:rPr>
          <w:b/>
        </w:rPr>
        <w:t>McCollum, D.</w:t>
      </w:r>
      <w:r>
        <w:t xml:space="preserve">, and C. Yang (2009). “Achieving deep reductions in US transport greenhouse gas emissions: Scenario analysis and policy implications,” </w:t>
      </w:r>
      <w:r>
        <w:rPr>
          <w:sz w:val="21"/>
        </w:rPr>
        <w:t>Energy Policy</w:t>
      </w:r>
      <w:r>
        <w:t xml:space="preserve"> 37(12), 5580-96. </w:t>
      </w:r>
    </w:p>
    <w:p w14:paraId="18D42647" w14:textId="77777777" w:rsidR="003F6107" w:rsidRDefault="00000000">
      <w:pPr>
        <w:ind w:left="721" w:right="18"/>
      </w:pPr>
      <w:r>
        <w:t xml:space="preserve">Yang, C., </w:t>
      </w:r>
      <w:r>
        <w:rPr>
          <w:b/>
        </w:rPr>
        <w:t>D. McCollum</w:t>
      </w:r>
      <w:r>
        <w:t xml:space="preserve"> et al. (2009). “Meeting an 80% Reduction in Greenhouse Gas Emissions from Transportation by 2050: A Case Study in California, USA,” </w:t>
      </w:r>
      <w:r>
        <w:rPr>
          <w:sz w:val="21"/>
        </w:rPr>
        <w:t>Transportation Research Part D: Transport and Environment</w:t>
      </w:r>
      <w:r>
        <w:t xml:space="preserve">, 14 (3). </w:t>
      </w:r>
    </w:p>
    <w:p w14:paraId="1DCD38C1" w14:textId="77777777" w:rsidR="003F6107" w:rsidRDefault="00000000">
      <w:pPr>
        <w:spacing w:after="34" w:line="259" w:lineRule="auto"/>
        <w:ind w:left="1" w:right="0" w:firstLine="0"/>
      </w:pPr>
      <w:r>
        <w:t xml:space="preserve"> </w:t>
      </w:r>
    </w:p>
    <w:p w14:paraId="6506F81D" w14:textId="77777777" w:rsidR="003F6107" w:rsidRDefault="00000000">
      <w:pPr>
        <w:pStyle w:val="Heading1"/>
        <w:ind w:left="-4"/>
      </w:pPr>
      <w:r>
        <w:t xml:space="preserve">MAJOR RESEARCH ACTIVITIES &amp; PRINCIPAL INVESTIGATOR ROLES (SELECTED) </w:t>
      </w:r>
    </w:p>
    <w:p w14:paraId="57694C9F" w14:textId="77777777" w:rsidR="003F6107" w:rsidRDefault="00000000">
      <w:pPr>
        <w:spacing w:after="1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5DA83C" wp14:editId="540BFE35">
                <wp:extent cx="7078993" cy="9144"/>
                <wp:effectExtent l="0" t="0" r="0" b="0"/>
                <wp:docPr id="9236" name="Group 9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62" name="Shape 10362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36" style="width:557.401pt;height:0.720001pt;mso-position-horizontal-relative:char;mso-position-vertical-relative:line" coordsize="70789,91">
                <v:shape id="Shape 10363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AD52AA" w14:textId="77777777" w:rsidR="003F6107" w:rsidRDefault="00000000">
      <w:pPr>
        <w:ind w:left="721" w:right="18"/>
      </w:pPr>
      <w:r>
        <w:rPr>
          <w:b/>
        </w:rPr>
        <w:t>ARMADA: Action Relevant Modeling and Decision Analysis</w:t>
      </w:r>
      <w:r>
        <w:t xml:space="preserve">, </w:t>
      </w:r>
      <w:r>
        <w:rPr>
          <w:sz w:val="21"/>
        </w:rPr>
        <w:t>2024-Present</w:t>
      </w:r>
      <w:r>
        <w:t xml:space="preserve">. Director of a $2.1M effort to build a powerful modeling and scenario analysis platform operating at decision-relevant scales and taking a holistic view of technology-infrastructure expansion over decadal timescales and under deep uncertainty </w:t>
      </w:r>
    </w:p>
    <w:p w14:paraId="7D493AF7" w14:textId="77777777" w:rsidR="003F6107" w:rsidRDefault="00000000">
      <w:pPr>
        <w:pStyle w:val="Heading1"/>
        <w:ind w:left="373"/>
      </w:pPr>
      <w:r>
        <w:t>QUEENS: Quantum for the Environment, Economy, and National Security</w:t>
      </w:r>
      <w:r>
        <w:rPr>
          <w:b w:val="0"/>
        </w:rPr>
        <w:t xml:space="preserve">, </w:t>
      </w:r>
      <w:r>
        <w:rPr>
          <w:b w:val="0"/>
          <w:sz w:val="21"/>
        </w:rPr>
        <w:t>2025-Present</w:t>
      </w:r>
      <w:r>
        <w:rPr>
          <w:b w:val="0"/>
        </w:rPr>
        <w:t xml:space="preserve">. Leading a $250K </w:t>
      </w:r>
    </w:p>
    <w:p w14:paraId="7D6815A1" w14:textId="77777777" w:rsidR="003F6107" w:rsidRDefault="00000000">
      <w:pPr>
        <w:ind w:left="721" w:right="18" w:firstLine="0"/>
      </w:pPr>
      <w:r>
        <w:t xml:space="preserve">analysis effort exploring alternative futures for quantum computing and associated infrastructure; estimating future potential energy and physical resource impacts of quantum-accelerated AI data centers at scale </w:t>
      </w:r>
    </w:p>
    <w:p w14:paraId="1D12C417" w14:textId="77777777" w:rsidR="003F6107" w:rsidRDefault="00000000">
      <w:pPr>
        <w:spacing w:after="3" w:line="291" w:lineRule="auto"/>
        <w:ind w:left="720" w:right="267" w:hanging="357"/>
        <w:jc w:val="both"/>
      </w:pPr>
      <w:r>
        <w:rPr>
          <w:b/>
        </w:rPr>
        <w:t>Next-Generation Data Centers in a World of Change</w:t>
      </w:r>
      <w:r>
        <w:t xml:space="preserve">, </w:t>
      </w:r>
      <w:r>
        <w:rPr>
          <w:sz w:val="21"/>
        </w:rPr>
        <w:t>2025-Present</w:t>
      </w:r>
      <w:r>
        <w:t xml:space="preserve">. Leading a $400K collaborative effort between ORNL and the University of Virginia geared toward advancing the state-of-the-art of integrated modeling and wholesystems scenario analysis with respect to AI data center deployment over mid-to-long term timeframes, considering multiple spatial/jurisdictional scales and co-evolving dynamics in interacting infrastructural and human systems </w:t>
      </w:r>
    </w:p>
    <w:p w14:paraId="73F970E8" w14:textId="77777777" w:rsidR="003F6107" w:rsidRDefault="00000000">
      <w:pPr>
        <w:pStyle w:val="Heading1"/>
        <w:ind w:left="373"/>
      </w:pPr>
      <w:r>
        <w:t>Intergovernmental Panel on Climate Change</w:t>
      </w:r>
      <w:r>
        <w:rPr>
          <w:b w:val="0"/>
        </w:rPr>
        <w:t xml:space="preserve">  </w:t>
      </w:r>
    </w:p>
    <w:p w14:paraId="436D6A38" w14:textId="77777777" w:rsidR="003F6107" w:rsidRDefault="00000000">
      <w:pPr>
        <w:ind w:left="702" w:right="18" w:firstLine="0"/>
      </w:pPr>
      <w:r>
        <w:rPr>
          <w:sz w:val="21"/>
        </w:rPr>
        <w:t>Seventh Assessment Report (2025-28)</w:t>
      </w:r>
      <w:r>
        <w:t>:</w:t>
      </w:r>
      <w:r>
        <w:rPr>
          <w:sz w:val="21"/>
        </w:rPr>
        <w:t xml:space="preserve"> </w:t>
      </w:r>
      <w:r>
        <w:t>Lead Author, Ch. 14 – Integration and interactions across sectors and systems</w:t>
      </w:r>
      <w:r>
        <w:rPr>
          <w:sz w:val="21"/>
        </w:rPr>
        <w:t xml:space="preserve"> </w:t>
      </w:r>
    </w:p>
    <w:p w14:paraId="5790BC6F" w14:textId="77777777" w:rsidR="003F6107" w:rsidRDefault="00000000">
      <w:pPr>
        <w:ind w:left="702" w:right="18" w:firstLine="0"/>
      </w:pPr>
      <w:r>
        <w:rPr>
          <w:sz w:val="21"/>
        </w:rPr>
        <w:t>Sixth Assessment Report (2022)</w:t>
      </w:r>
      <w:r>
        <w:t>:</w:t>
      </w:r>
      <w:r>
        <w:rPr>
          <w:sz w:val="21"/>
        </w:rPr>
        <w:t xml:space="preserve"> </w:t>
      </w:r>
      <w:r>
        <w:t>Lead and Contributing Author and WG III Technical Support Unit; Multiple topics</w:t>
      </w:r>
      <w:r>
        <w:rPr>
          <w:sz w:val="21"/>
        </w:rPr>
        <w:t xml:space="preserve"> Special Report on 1.5 °C (2018)</w:t>
      </w:r>
      <w:r>
        <w:t>: Contributing Author; Energy investment needs for deep decarbonization pathways</w:t>
      </w:r>
      <w:r>
        <w:rPr>
          <w:sz w:val="21"/>
        </w:rPr>
        <w:t xml:space="preserve"> </w:t>
      </w:r>
    </w:p>
    <w:p w14:paraId="6699E336" w14:textId="77777777" w:rsidR="003F6107" w:rsidRDefault="00000000">
      <w:pPr>
        <w:ind w:left="702" w:right="18" w:firstLine="0"/>
      </w:pPr>
      <w:r>
        <w:rPr>
          <w:sz w:val="21"/>
        </w:rPr>
        <w:t>Fifth Assessment Report (2014)</w:t>
      </w:r>
      <w:r>
        <w:t xml:space="preserve">: Lead Author and Contributing Author; Co-benefits and risks of climate mitigation </w:t>
      </w:r>
    </w:p>
    <w:p w14:paraId="38AE763E" w14:textId="77777777" w:rsidR="003F6107" w:rsidRDefault="00000000">
      <w:pPr>
        <w:ind w:left="721" w:right="18"/>
      </w:pPr>
      <w:r>
        <w:rPr>
          <w:b/>
        </w:rPr>
        <w:t>Integrated Energy Futures</w:t>
      </w:r>
      <w:r>
        <w:t xml:space="preserve">, </w:t>
      </w:r>
      <w:r>
        <w:rPr>
          <w:sz w:val="21"/>
        </w:rPr>
        <w:t>2022-Present</w:t>
      </w:r>
      <w:r>
        <w:t xml:space="preserve">. ORNL Lab Lead and Core Analysis Team Member; $400K/yr; multi-lab effort sponsored by the DOE-EERE Strategic Analysis Team to develop advanced capabilities and workflows for multisectoral pathways modeling </w:t>
      </w:r>
    </w:p>
    <w:p w14:paraId="17FB0A62" w14:textId="77777777" w:rsidR="003F6107" w:rsidRDefault="00000000">
      <w:pPr>
        <w:ind w:left="721" w:right="18"/>
      </w:pPr>
      <w:r>
        <w:rPr>
          <w:b/>
        </w:rPr>
        <w:t>DecisionScience@ORNL</w:t>
      </w:r>
      <w:r>
        <w:t xml:space="preserve">, </w:t>
      </w:r>
      <w:r>
        <w:rPr>
          <w:sz w:val="21"/>
        </w:rPr>
        <w:t>2021-2024</w:t>
      </w:r>
      <w:r>
        <w:t xml:space="preserve">. Director of an internal effort to build a diverse analysis community within ORNL; managed an internal LDRD/PD budget of &gt;$500K to seed new ideas and establish world-leading capabilities </w:t>
      </w:r>
    </w:p>
    <w:p w14:paraId="14CA0D9F" w14:textId="77777777" w:rsidR="003F6107" w:rsidRDefault="00000000">
      <w:pPr>
        <w:pStyle w:val="Heading1"/>
        <w:ind w:left="373"/>
      </w:pPr>
      <w:r>
        <w:t>EDITS Consortium (Energy Demand changes Induced by Technological and Social innovations)</w:t>
      </w:r>
      <w:r>
        <w:rPr>
          <w:b w:val="0"/>
        </w:rPr>
        <w:t xml:space="preserve">, </w:t>
      </w:r>
      <w:r>
        <w:rPr>
          <w:b w:val="0"/>
          <w:sz w:val="21"/>
        </w:rPr>
        <w:t>2019-</w:t>
      </w:r>
    </w:p>
    <w:p w14:paraId="26795332" w14:textId="77777777" w:rsidR="003F6107" w:rsidRDefault="00000000">
      <w:pPr>
        <w:ind w:left="702" w:right="18" w:firstLine="0"/>
      </w:pPr>
      <w:r>
        <w:rPr>
          <w:sz w:val="21"/>
        </w:rPr>
        <w:t>Present</w:t>
      </w:r>
      <w:r>
        <w:t xml:space="preserve">. Led by IIASA and RITE. Study Team contributions: (1) Energy Security, (2) End-Use Energy Demand Data. </w:t>
      </w:r>
    </w:p>
    <w:p w14:paraId="1779751E" w14:textId="77777777" w:rsidR="003F6107" w:rsidRDefault="00000000">
      <w:pPr>
        <w:ind w:left="370" w:right="18" w:firstLine="0"/>
      </w:pPr>
      <w:r>
        <w:rPr>
          <w:b/>
        </w:rPr>
        <w:lastRenderedPageBreak/>
        <w:t>Net Zero World Initiative</w:t>
      </w:r>
      <w:r>
        <w:t xml:space="preserve">, </w:t>
      </w:r>
      <w:r>
        <w:rPr>
          <w:sz w:val="21"/>
        </w:rPr>
        <w:t>2021-2025</w:t>
      </w:r>
      <w:r>
        <w:t xml:space="preserve">. ORNL Lab Lead and Co-Manager for Partnerships within the cross-lab NZW </w:t>
      </w:r>
    </w:p>
    <w:p w14:paraId="298EAC1C" w14:textId="77777777" w:rsidR="003F6107" w:rsidRDefault="00000000">
      <w:pPr>
        <w:ind w:left="721" w:right="18" w:firstLine="0"/>
      </w:pPr>
      <w:r>
        <w:t xml:space="preserve">Action Center. NZW was a partnership between U.S. federal agencies, U.S. national laboratories, foreign governments, and philanthropies to support countries’ rapid achievement of energy systems decarbonization. </w:t>
      </w:r>
    </w:p>
    <w:p w14:paraId="616D6817" w14:textId="77777777" w:rsidR="003F6107" w:rsidRDefault="00000000">
      <w:pPr>
        <w:pStyle w:val="Heading1"/>
        <w:ind w:left="721" w:hanging="358"/>
      </w:pPr>
      <w:r>
        <w:t>Energy Modeling Forum 37 Exercise (EMF-37): Deep Decarbonization &amp; High Electrification Scenarios for North America</w:t>
      </w:r>
      <w:r>
        <w:rPr>
          <w:b w:val="0"/>
        </w:rPr>
        <w:t xml:space="preserve">, </w:t>
      </w:r>
      <w:r>
        <w:rPr>
          <w:b w:val="0"/>
          <w:sz w:val="21"/>
        </w:rPr>
        <w:t>2021-2025</w:t>
      </w:r>
      <w:r>
        <w:rPr>
          <w:b w:val="0"/>
        </w:rPr>
        <w:t xml:space="preserve">. Study Team contributions: (1) Transportation, (2) Ancillary Impacts, (3) Hydrogen </w:t>
      </w:r>
    </w:p>
    <w:p w14:paraId="3D3F23DB" w14:textId="77777777" w:rsidR="003F6107" w:rsidRDefault="00000000">
      <w:pPr>
        <w:ind w:left="721" w:right="18"/>
      </w:pPr>
      <w:r>
        <w:rPr>
          <w:b/>
        </w:rPr>
        <w:t>E3SM-GCAM Exploration of CDR</w:t>
      </w:r>
      <w:r>
        <w:t xml:space="preserve">, </w:t>
      </w:r>
      <w:r>
        <w:rPr>
          <w:sz w:val="21"/>
        </w:rPr>
        <w:t>2022-23</w:t>
      </w:r>
      <w:r>
        <w:t xml:space="preserve">. Exploring the effectiveness of land-based carbon dioxide removal in stringent mitigation pathways using world-leading earth systems and integrated assessment models </w:t>
      </w:r>
    </w:p>
    <w:p w14:paraId="3A4F58CF" w14:textId="77777777" w:rsidR="003F6107" w:rsidRDefault="00000000">
      <w:pPr>
        <w:ind w:left="721" w:right="18"/>
      </w:pPr>
      <w:r>
        <w:rPr>
          <w:b/>
        </w:rPr>
        <w:t>Green Climate Fund</w:t>
      </w:r>
      <w:r>
        <w:t xml:space="preserve">, </w:t>
      </w:r>
      <w:r>
        <w:rPr>
          <w:sz w:val="21"/>
        </w:rPr>
        <w:t>2019-2021</w:t>
      </w:r>
      <w:r>
        <w:t xml:space="preserve">. “Scaling up climate finance in the context of Covid-19: A science-based call for financial decision-makers” </w:t>
      </w:r>
    </w:p>
    <w:p w14:paraId="110EC549" w14:textId="77777777" w:rsidR="003F6107" w:rsidRDefault="00000000">
      <w:pPr>
        <w:spacing w:after="5" w:line="269" w:lineRule="auto"/>
        <w:ind w:left="211" w:right="201" w:hanging="10"/>
        <w:jc w:val="center"/>
      </w:pPr>
      <w:r>
        <w:rPr>
          <w:b/>
        </w:rPr>
        <w:t>IIASA-ISC</w:t>
      </w:r>
      <w:r>
        <w:t xml:space="preserve">, </w:t>
      </w:r>
      <w:r>
        <w:rPr>
          <w:sz w:val="21"/>
        </w:rPr>
        <w:t>2020-21</w:t>
      </w:r>
      <w:r>
        <w:t xml:space="preserve">. “Transformations within reach: Pathways to a sustainable and resilient world – Rethinking energy solutions”, International Institute for Applied Systems Analysis, Austria, and International Science Council, Paris </w:t>
      </w:r>
    </w:p>
    <w:p w14:paraId="7EB32AF4" w14:textId="77777777" w:rsidR="003F6107" w:rsidRDefault="00000000">
      <w:pPr>
        <w:ind w:left="721" w:right="18"/>
      </w:pPr>
      <w:r>
        <w:rPr>
          <w:b/>
        </w:rPr>
        <w:t>U.S. Power Sector Transformation and Air Quality Study</w:t>
      </w:r>
      <w:r>
        <w:t xml:space="preserve">, </w:t>
      </w:r>
      <w:r>
        <w:rPr>
          <w:sz w:val="21"/>
        </w:rPr>
        <w:t>2020-21</w:t>
      </w:r>
      <w:r>
        <w:t xml:space="preserve">, Energy-economic modeling for six U.S. electric utilities to explore the co-benefits of decarbonization and electrification in their service territories </w:t>
      </w:r>
    </w:p>
    <w:p w14:paraId="3A83BDA4" w14:textId="77777777" w:rsidR="003F6107" w:rsidRDefault="00000000">
      <w:pPr>
        <w:ind w:left="721" w:right="18"/>
      </w:pPr>
      <w:r>
        <w:rPr>
          <w:b/>
        </w:rPr>
        <w:t>U.S. and Canadian Net-Zero Emissions Studies</w:t>
      </w:r>
      <w:r>
        <w:t xml:space="preserve">, </w:t>
      </w:r>
      <w:r>
        <w:rPr>
          <w:sz w:val="21"/>
        </w:rPr>
        <w:t>2019-21</w:t>
      </w:r>
      <w:r>
        <w:t xml:space="preserve">, Modeling of economy-wide decarbonization pathways to reach net-zero emissions by 2050; stakeholder engagement with U.S. and Canadian utilities to inform decision making </w:t>
      </w:r>
    </w:p>
    <w:p w14:paraId="6B0EFEBD" w14:textId="77777777" w:rsidR="003F6107" w:rsidRDefault="00000000">
      <w:pPr>
        <w:ind w:left="721" w:right="18"/>
      </w:pPr>
      <w:r>
        <w:rPr>
          <w:b/>
        </w:rPr>
        <w:t>COMMIT Project</w:t>
      </w:r>
      <w:r>
        <w:t xml:space="preserve">, </w:t>
      </w:r>
      <w:r>
        <w:rPr>
          <w:sz w:val="21"/>
        </w:rPr>
        <w:t>2018-20</w:t>
      </w:r>
      <w:r>
        <w:t xml:space="preserve">, Enhancing the energy transitions and climate policy modeling capacity of G20 developing countries in support of their enhanced NDC submissions and long-term strategies (European Commission DG-CLIMA) </w:t>
      </w:r>
    </w:p>
    <w:p w14:paraId="394F8169" w14:textId="77777777" w:rsidR="003F6107" w:rsidRDefault="00000000">
      <w:pPr>
        <w:ind w:left="721" w:right="18"/>
      </w:pPr>
      <w:r>
        <w:rPr>
          <w:b/>
        </w:rPr>
        <w:t>CD-LINKS Project</w:t>
      </w:r>
      <w:r>
        <w:t xml:space="preserve">, </w:t>
      </w:r>
      <w:r>
        <w:rPr>
          <w:sz w:val="21"/>
        </w:rPr>
        <w:t>2016-19</w:t>
      </w:r>
      <w:r>
        <w:t xml:space="preserve">, Exploring technology and policy pathways toward well below 2 °C, with a focus on energy infrastructure investment needs globally and for major economies (European Commission Horizon 2020) </w:t>
      </w:r>
    </w:p>
    <w:p w14:paraId="3A247070" w14:textId="77777777" w:rsidR="003F6107" w:rsidRDefault="00000000">
      <w:pPr>
        <w:ind w:left="721" w:right="18"/>
      </w:pPr>
      <w:r>
        <w:rPr>
          <w:b/>
        </w:rPr>
        <w:t>United Nations Environment Programme Finance Initiative (UNEP-FI)</w:t>
      </w:r>
      <w:r>
        <w:t xml:space="preserve">, </w:t>
      </w:r>
      <w:r>
        <w:rPr>
          <w:sz w:val="21"/>
        </w:rPr>
        <w:t>2017-18,</w:t>
      </w:r>
      <w:r>
        <w:t xml:space="preserve"> Worked with leading international banks to promote use of energy and emissions scenarios for informing risk valuation (motivated by TCFD) </w:t>
      </w:r>
    </w:p>
    <w:p w14:paraId="22FA439E" w14:textId="77777777" w:rsidR="003F6107" w:rsidRDefault="00000000">
      <w:pPr>
        <w:ind w:left="721" w:right="18"/>
      </w:pPr>
      <w:r>
        <w:rPr>
          <w:b/>
        </w:rPr>
        <w:t>U.S. Environmental Protection Agency, Office of Transportation and Air Quality Project</w:t>
      </w:r>
      <w:r>
        <w:t xml:space="preserve">, </w:t>
      </w:r>
      <w:r>
        <w:rPr>
          <w:sz w:val="21"/>
        </w:rPr>
        <w:t>2016-18</w:t>
      </w:r>
      <w:r>
        <w:t xml:space="preserve">, Designed and carried out modeling analyses of the energy-emissions leakage effects of US biofuels policies, with RTI International </w:t>
      </w:r>
    </w:p>
    <w:p w14:paraId="7600D073" w14:textId="77777777" w:rsidR="003F6107" w:rsidRDefault="00000000">
      <w:pPr>
        <w:ind w:left="721" w:right="18"/>
      </w:pPr>
      <w:r>
        <w:rPr>
          <w:b/>
        </w:rPr>
        <w:t>International Council for Science (ICSU/ISC)</w:t>
      </w:r>
      <w:r>
        <w:t xml:space="preserve">, </w:t>
      </w:r>
      <w:r>
        <w:rPr>
          <w:sz w:val="21"/>
        </w:rPr>
        <w:t>2016-17</w:t>
      </w:r>
      <w:r>
        <w:t xml:space="preserve">, Coordinated a team of experts to draft a chapter on energyrelated Sustainable Development Goal interactions, and served on editorial team for entire report </w:t>
      </w:r>
    </w:p>
    <w:p w14:paraId="1849B3A1" w14:textId="77777777" w:rsidR="003F6107" w:rsidRDefault="00000000">
      <w:pPr>
        <w:ind w:left="721" w:right="18"/>
      </w:pPr>
      <w:r>
        <w:rPr>
          <w:b/>
        </w:rPr>
        <w:t>Asian Development Bank (ADB)</w:t>
      </w:r>
      <w:r>
        <w:t xml:space="preserve">, 2015, Co-led energy transitions analysis for the ‘Roadmap for Carbon Capture and Storage Demonstration and Deployment in the People’s Republic of China’ </w:t>
      </w:r>
    </w:p>
    <w:p w14:paraId="5E7CF7E3" w14:textId="77777777" w:rsidR="003F6107" w:rsidRDefault="00000000">
      <w:pPr>
        <w:ind w:left="721" w:right="18"/>
      </w:pPr>
      <w:r>
        <w:rPr>
          <w:b/>
        </w:rPr>
        <w:t>United Nations Environment Programme (UNEP),</w:t>
      </w:r>
      <w:r>
        <w:t xml:space="preserve"> </w:t>
      </w:r>
      <w:r>
        <w:rPr>
          <w:b/>
        </w:rPr>
        <w:t>The Emissions Gap Report 2014</w:t>
      </w:r>
      <w:r>
        <w:t xml:space="preserve">, Lead Author of ‘Chapter 2: What emission levels will comply with temperature limits?’ </w:t>
      </w:r>
    </w:p>
    <w:p w14:paraId="7B3E957B" w14:textId="77777777" w:rsidR="003F6107" w:rsidRDefault="00000000">
      <w:pPr>
        <w:ind w:left="370" w:right="18" w:firstLine="0"/>
      </w:pPr>
      <w:r>
        <w:rPr>
          <w:b/>
        </w:rPr>
        <w:t>Global Energy Assessment</w:t>
      </w:r>
      <w:r>
        <w:t xml:space="preserve">, </w:t>
      </w:r>
      <w:r>
        <w:rPr>
          <w:sz w:val="21"/>
        </w:rPr>
        <w:t>2009-12</w:t>
      </w:r>
      <w:r>
        <w:t xml:space="preserve">, Lead Author of ‘Chapter 17: Energy Pathways for Sustainable Development’ </w:t>
      </w:r>
    </w:p>
    <w:p w14:paraId="2AF97D9B" w14:textId="77777777" w:rsidR="003F6107" w:rsidRDefault="00000000">
      <w:pPr>
        <w:ind w:left="721" w:right="18"/>
      </w:pPr>
      <w:r>
        <w:rPr>
          <w:b/>
        </w:rPr>
        <w:t>Multi-Path Transportation Futures Study</w:t>
      </w:r>
      <w:r>
        <w:t xml:space="preserve">, </w:t>
      </w:r>
      <w:r>
        <w:rPr>
          <w:sz w:val="21"/>
        </w:rPr>
        <w:t>2007</w:t>
      </w:r>
      <w:r>
        <w:t xml:space="preserve">, Argonne National Laboratory, Characterized transport fuel production options by costs, emissions and water use </w:t>
      </w:r>
    </w:p>
    <w:p w14:paraId="405468C4" w14:textId="77777777" w:rsidR="003F6107" w:rsidRDefault="00000000">
      <w:pPr>
        <w:spacing w:after="5" w:line="270" w:lineRule="auto"/>
        <w:ind w:left="373" w:right="0" w:hanging="10"/>
      </w:pPr>
      <w:r>
        <w:rPr>
          <w:b/>
        </w:rPr>
        <w:t>Models for Carbon Dioxide Transport and Underground Storage</w:t>
      </w:r>
      <w:r>
        <w:t xml:space="preserve">, </w:t>
      </w:r>
      <w:r>
        <w:rPr>
          <w:sz w:val="21"/>
        </w:rPr>
        <w:t>2005-06</w:t>
      </w:r>
      <w:r>
        <w:t xml:space="preserve">, University of California, Davis, </w:t>
      </w:r>
    </w:p>
    <w:p w14:paraId="01440FA8" w14:textId="77777777" w:rsidR="003F6107" w:rsidRDefault="00000000">
      <w:pPr>
        <w:ind w:left="721" w:right="18" w:firstLine="0"/>
      </w:pPr>
      <w:r>
        <w:t>Investigated techno-economic models for CO</w:t>
      </w:r>
      <w:r>
        <w:rPr>
          <w:sz w:val="18"/>
          <w:vertAlign w:val="subscript"/>
        </w:rPr>
        <w:t>2</w:t>
      </w:r>
      <w:r>
        <w:t xml:space="preserve"> compression, pipeline transport, and geological storage </w:t>
      </w:r>
    </w:p>
    <w:p w14:paraId="2B195B73" w14:textId="77777777" w:rsidR="003F6107" w:rsidRDefault="00000000">
      <w:pPr>
        <w:spacing w:after="35" w:line="259" w:lineRule="auto"/>
        <w:ind w:left="1" w:right="0" w:firstLine="0"/>
      </w:pPr>
      <w:r>
        <w:rPr>
          <w:b/>
        </w:rPr>
        <w:t xml:space="preserve"> </w:t>
      </w:r>
    </w:p>
    <w:p w14:paraId="06D62632" w14:textId="77777777" w:rsidR="003F6107" w:rsidRDefault="00000000">
      <w:pPr>
        <w:pStyle w:val="Heading1"/>
        <w:ind w:left="-4"/>
      </w:pPr>
      <w:r>
        <w:t xml:space="preserve">LEADERSHIP POSITIONS, ADVISORY BOARDS &amp; COMMITTEES (SELECTED) </w:t>
      </w:r>
    </w:p>
    <w:p w14:paraId="6083FBDB" w14:textId="77777777" w:rsidR="003F6107" w:rsidRDefault="00000000">
      <w:pPr>
        <w:spacing w:after="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40D32" wp14:editId="611B1E1D">
                <wp:extent cx="7078993" cy="9144"/>
                <wp:effectExtent l="0" t="0" r="0" b="0"/>
                <wp:docPr id="9292" name="Group 9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64" name="Shape 10364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2" style="width:557.401pt;height:0.720032pt;mso-position-horizontal-relative:char;mso-position-vertical-relative:line" coordsize="70789,91">
                <v:shape id="Shape 10365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61DEC8" w14:textId="77777777" w:rsidR="003F6107" w:rsidRDefault="00000000">
      <w:pPr>
        <w:spacing w:after="9"/>
        <w:ind w:left="777" w:right="0" w:hanging="407"/>
        <w:jc w:val="both"/>
      </w:pPr>
      <w:r>
        <w:t xml:space="preserve">Lead Organizer, Aspen Global Change Institute (AGCI) Workshop on </w:t>
      </w:r>
      <w:r>
        <w:rPr>
          <w:sz w:val="21"/>
        </w:rPr>
        <w:t>Human behavior in global change models: Crossdisciplinary synthesis for future directions</w:t>
      </w:r>
      <w:r>
        <w:t xml:space="preserve">, November 2025 </w:t>
      </w:r>
    </w:p>
    <w:p w14:paraId="3FAC7533" w14:textId="77777777" w:rsidR="003F6107" w:rsidRDefault="00000000">
      <w:pPr>
        <w:ind w:left="370" w:right="18" w:firstLine="0"/>
      </w:pPr>
      <w:r>
        <w:t xml:space="preserve">Member, International Science Council’s </w:t>
      </w:r>
      <w:r>
        <w:rPr>
          <w:sz w:val="21"/>
        </w:rPr>
        <w:t>Global Roster of Experts</w:t>
      </w:r>
      <w:r>
        <w:t xml:space="preserve"> </w:t>
      </w:r>
    </w:p>
    <w:p w14:paraId="5618F77F" w14:textId="77777777" w:rsidR="003F6107" w:rsidRDefault="00000000">
      <w:pPr>
        <w:ind w:left="777" w:right="18" w:hanging="407"/>
      </w:pPr>
      <w:r>
        <w:t xml:space="preserve">Review Editor, United Nations Environment Programme (UNEP), Global Environment Outlook #7 (GEO-7), Chapter on </w:t>
      </w:r>
      <w:r>
        <w:rPr>
          <w:sz w:val="21"/>
        </w:rPr>
        <w:t>Staying on the path we are on – global implications</w:t>
      </w:r>
      <w:r>
        <w:t xml:space="preserve">  </w:t>
      </w:r>
    </w:p>
    <w:p w14:paraId="16DBB867" w14:textId="77777777" w:rsidR="003F6107" w:rsidRDefault="00000000">
      <w:pPr>
        <w:ind w:left="370" w:right="18" w:firstLine="0"/>
      </w:pPr>
      <w:r>
        <w:t xml:space="preserve">Review Editor, Second Austrian Climate Assessment Report (AAR2), Ch. 3: </w:t>
      </w:r>
      <w:r>
        <w:rPr>
          <w:sz w:val="21"/>
        </w:rPr>
        <w:t>Settlements, Mobility and Spatial Planning</w:t>
      </w:r>
      <w:r>
        <w:t xml:space="preserve"> </w:t>
      </w:r>
    </w:p>
    <w:p w14:paraId="063E052A" w14:textId="77777777" w:rsidR="003F6107" w:rsidRDefault="00000000">
      <w:pPr>
        <w:spacing w:after="9"/>
        <w:ind w:left="380" w:right="0" w:hanging="10"/>
        <w:jc w:val="both"/>
      </w:pPr>
      <w:r>
        <w:t>Review Editor, U.S. 5</w:t>
      </w:r>
      <w:r>
        <w:rPr>
          <w:sz w:val="18"/>
          <w:vertAlign w:val="superscript"/>
        </w:rPr>
        <w:t>th</w:t>
      </w:r>
      <w:r>
        <w:t xml:space="preserve"> National Climate Assessment, Ch. 18: </w:t>
      </w:r>
      <w:r>
        <w:rPr>
          <w:sz w:val="21"/>
        </w:rPr>
        <w:t>Sector Interactions, Multiple Stressors, and Complex Systems</w:t>
      </w:r>
      <w:r>
        <w:t xml:space="preserve"> </w:t>
      </w:r>
    </w:p>
    <w:p w14:paraId="1458C326" w14:textId="77777777" w:rsidR="003F6107" w:rsidRDefault="00000000">
      <w:pPr>
        <w:ind w:left="370" w:right="18" w:firstLine="0"/>
      </w:pPr>
      <w:r>
        <w:t xml:space="preserve">Co-Chair, Working Group on </w:t>
      </w:r>
      <w:r>
        <w:rPr>
          <w:sz w:val="21"/>
        </w:rPr>
        <w:t>Connecting MSD Research to Operations</w:t>
      </w:r>
      <w:r>
        <w:t xml:space="preserve">, Multi Sector Dynamics Community of Practice Leadership Team, ORNL Climate Change Science Institute (CCSI) </w:t>
      </w:r>
    </w:p>
    <w:p w14:paraId="2C4346B2" w14:textId="77777777" w:rsidR="003F6107" w:rsidRDefault="00000000">
      <w:pPr>
        <w:ind w:left="796" w:right="18" w:hanging="426"/>
      </w:pPr>
      <w:r>
        <w:t xml:space="preserve">Member, Expert Group on Energy’s Interlinkages with Other SDGs in the framework of the SDG7 Technical Advisory Group (SDG7 TAG), United Nations Department of Economic and Social Affairs (UN DESA) </w:t>
      </w:r>
    </w:p>
    <w:p w14:paraId="2BFBF5DA" w14:textId="77777777" w:rsidR="003F6107" w:rsidRDefault="00000000">
      <w:pPr>
        <w:spacing w:after="9"/>
        <w:ind w:left="380" w:right="0" w:hanging="10"/>
        <w:jc w:val="both"/>
      </w:pPr>
      <w:r>
        <w:t xml:space="preserve">Associate Editor, </w:t>
      </w:r>
      <w:r>
        <w:rPr>
          <w:sz w:val="21"/>
        </w:rPr>
        <w:t>Renewable and Sustainable Energy Transition</w:t>
      </w:r>
      <w:r>
        <w:t xml:space="preserve"> (Elsevier) </w:t>
      </w:r>
    </w:p>
    <w:p w14:paraId="7C138834" w14:textId="77777777" w:rsidR="003F6107" w:rsidRDefault="00000000">
      <w:pPr>
        <w:ind w:left="796" w:right="18" w:hanging="426"/>
      </w:pPr>
      <w:r>
        <w:t xml:space="preserve">Member, U.S. Committee for IIASA; National Academies of Sciences, Engineering and Medicine (NASEM); Board on International Scientific Organizations (BISO) </w:t>
      </w:r>
    </w:p>
    <w:p w14:paraId="145D3532" w14:textId="77777777" w:rsidR="003F6107" w:rsidRDefault="00000000">
      <w:pPr>
        <w:ind w:left="796" w:right="18" w:hanging="426"/>
      </w:pPr>
      <w:r>
        <w:lastRenderedPageBreak/>
        <w:t xml:space="preserve">Member, Planning Committee for the </w:t>
      </w:r>
      <w:r>
        <w:rPr>
          <w:sz w:val="21"/>
        </w:rPr>
        <w:t>U.S. Research Data Summit 2023</w:t>
      </w:r>
      <w:r>
        <w:t xml:space="preserve">; National Academies of Sciences, Engineering, and Medicine (NASEM), Policy and Global Affairs Division </w:t>
      </w:r>
    </w:p>
    <w:p w14:paraId="56CE6DD8" w14:textId="77777777" w:rsidR="003F6107" w:rsidRDefault="00000000">
      <w:pPr>
        <w:ind w:left="796" w:right="18" w:hanging="426"/>
      </w:pPr>
      <w:r>
        <w:t xml:space="preserve">External Advisory Council, </w:t>
      </w:r>
      <w:r>
        <w:rPr>
          <w:sz w:val="21"/>
        </w:rPr>
        <w:t>EmPOWERment</w:t>
      </w:r>
      <w:r>
        <w:t xml:space="preserve"> National Science Foundation (NSF) Research Traineeship Program, The Ohio State University </w:t>
      </w:r>
    </w:p>
    <w:p w14:paraId="4858D787" w14:textId="77777777" w:rsidR="003F6107" w:rsidRDefault="00000000">
      <w:pPr>
        <w:ind w:left="370" w:right="3941" w:firstLine="0"/>
      </w:pPr>
      <w:r>
        <w:t xml:space="preserve">Scientific Advisory Board, EU Horizon 2020 Project </w:t>
      </w:r>
      <w:r>
        <w:rPr>
          <w:sz w:val="21"/>
        </w:rPr>
        <w:t>LOCOMOTION</w:t>
      </w:r>
      <w:r>
        <w:t xml:space="preserve"> Scientific Advisory Board, EU Horizon Europe Project </w:t>
      </w:r>
      <w:r>
        <w:rPr>
          <w:sz w:val="21"/>
        </w:rPr>
        <w:t>DIAMOND</w:t>
      </w:r>
      <w:r>
        <w:t xml:space="preserve"> </w:t>
      </w:r>
    </w:p>
    <w:p w14:paraId="13512AA4" w14:textId="77777777" w:rsidR="003F6107" w:rsidRDefault="00000000">
      <w:pPr>
        <w:ind w:left="370" w:right="18" w:firstLine="0"/>
      </w:pPr>
      <w:r>
        <w:t xml:space="preserve">Advisory Team, TEMOA modeling for the project </w:t>
      </w:r>
      <w:r>
        <w:rPr>
          <w:sz w:val="21"/>
        </w:rPr>
        <w:t>Open Energy Outlook for the United States</w:t>
      </w:r>
      <w:r>
        <w:t xml:space="preserve"> </w:t>
      </w:r>
    </w:p>
    <w:p w14:paraId="2BDD8BD4" w14:textId="77777777" w:rsidR="003F6107" w:rsidRDefault="00000000">
      <w:pPr>
        <w:ind w:left="370" w:right="18" w:firstLine="0"/>
      </w:pPr>
      <w:r>
        <w:t xml:space="preserve">Steering Committee, National Renewable Energy Laboratory, TEMPO transportation pathways model </w:t>
      </w:r>
    </w:p>
    <w:p w14:paraId="6D4A0AF8" w14:textId="77777777" w:rsidR="003F6107" w:rsidRDefault="00000000">
      <w:pPr>
        <w:ind w:left="370" w:right="18" w:firstLine="0"/>
      </w:pPr>
      <w:r>
        <w:t xml:space="preserve">Scientific Advisory Group, Science Based Targets Initiative </w:t>
      </w:r>
    </w:p>
    <w:p w14:paraId="4C93CCD2" w14:textId="77777777" w:rsidR="003F6107" w:rsidRDefault="00000000">
      <w:pPr>
        <w:ind w:left="370" w:right="18" w:firstLine="0"/>
      </w:pPr>
      <w:r>
        <w:t xml:space="preserve">Steering Committee Member, International Transport Energy Modeling Consortium (iTEM) </w:t>
      </w:r>
    </w:p>
    <w:p w14:paraId="5D257060" w14:textId="77777777" w:rsidR="003F6107" w:rsidRDefault="00000000">
      <w:pPr>
        <w:ind w:left="370" w:right="18" w:firstLine="0"/>
      </w:pPr>
      <w:r>
        <w:t xml:space="preserve">Advisory Board Member (previously), International Transport Forum of the OECD, Decarbonising Transport Initiative </w:t>
      </w:r>
    </w:p>
    <w:p w14:paraId="0054F5C9" w14:textId="77777777" w:rsidR="003F6107" w:rsidRDefault="00000000">
      <w:pPr>
        <w:spacing w:after="9"/>
        <w:ind w:left="778" w:right="0" w:hanging="408"/>
        <w:jc w:val="both"/>
      </w:pPr>
      <w:r>
        <w:t xml:space="preserve">Reviewer for </w:t>
      </w:r>
      <w:r>
        <w:rPr>
          <w:sz w:val="21"/>
        </w:rPr>
        <w:t>Science</w:t>
      </w:r>
      <w:r>
        <w:t xml:space="preserve">, </w:t>
      </w:r>
      <w:r>
        <w:rPr>
          <w:sz w:val="21"/>
        </w:rPr>
        <w:t>Nature</w:t>
      </w:r>
      <w:r>
        <w:t xml:space="preserve">, </w:t>
      </w:r>
      <w:r>
        <w:rPr>
          <w:sz w:val="21"/>
        </w:rPr>
        <w:t>Nature Climate Change</w:t>
      </w:r>
      <w:r>
        <w:t xml:space="preserve">, </w:t>
      </w:r>
      <w:r>
        <w:rPr>
          <w:sz w:val="21"/>
        </w:rPr>
        <w:t>Nature Energy</w:t>
      </w:r>
      <w:r>
        <w:t xml:space="preserve">, </w:t>
      </w:r>
      <w:r>
        <w:rPr>
          <w:sz w:val="21"/>
        </w:rPr>
        <w:t>Nature Sustainability</w:t>
      </w:r>
      <w:r>
        <w:t xml:space="preserve">, </w:t>
      </w:r>
      <w:r>
        <w:rPr>
          <w:sz w:val="21"/>
        </w:rPr>
        <w:t>Nature Communications</w:t>
      </w:r>
      <w:r>
        <w:t xml:space="preserve">, </w:t>
      </w:r>
      <w:r>
        <w:rPr>
          <w:sz w:val="21"/>
        </w:rPr>
        <w:t>Environmental Research Letters</w:t>
      </w:r>
      <w:r>
        <w:t xml:space="preserve">, </w:t>
      </w:r>
      <w:r>
        <w:rPr>
          <w:sz w:val="21"/>
        </w:rPr>
        <w:t>Climatic Change</w:t>
      </w:r>
      <w:r>
        <w:t xml:space="preserve">, </w:t>
      </w:r>
      <w:r>
        <w:rPr>
          <w:sz w:val="21"/>
        </w:rPr>
        <w:t>Joule</w:t>
      </w:r>
      <w:r>
        <w:t xml:space="preserve">, </w:t>
      </w:r>
      <w:r>
        <w:rPr>
          <w:sz w:val="21"/>
        </w:rPr>
        <w:t>Energy and Climate Change</w:t>
      </w:r>
      <w:r>
        <w:t xml:space="preserve">, </w:t>
      </w:r>
      <w:r>
        <w:rPr>
          <w:sz w:val="21"/>
        </w:rPr>
        <w:t>Energy Economics</w:t>
      </w:r>
      <w:r>
        <w:t xml:space="preserve">, and others </w:t>
      </w:r>
    </w:p>
    <w:p w14:paraId="5665CA81" w14:textId="77777777" w:rsidR="003F6107" w:rsidRDefault="00000000">
      <w:pPr>
        <w:ind w:left="1" w:right="2571" w:firstLine="384"/>
      </w:pPr>
      <w:r>
        <w:t xml:space="preserve">Supervisor and mentor to dozens of early- and mid-career staff (including students) since 2011 </w:t>
      </w:r>
      <w:r>
        <w:rPr>
          <w:b/>
        </w:rPr>
        <w:t xml:space="preserve"> </w:t>
      </w:r>
    </w:p>
    <w:p w14:paraId="1A169055" w14:textId="77777777" w:rsidR="003F6107" w:rsidRDefault="00000000">
      <w:pPr>
        <w:pStyle w:val="Heading1"/>
        <w:ind w:left="-4"/>
      </w:pPr>
      <w:r>
        <w:t xml:space="preserve">HONORS &amp; AWARDS (SELECTED) </w:t>
      </w:r>
    </w:p>
    <w:p w14:paraId="6EABCA18" w14:textId="77777777" w:rsidR="003F6107" w:rsidRDefault="00000000">
      <w:pPr>
        <w:spacing w:after="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5F2E67" wp14:editId="26840687">
                <wp:extent cx="7078993" cy="9144"/>
                <wp:effectExtent l="0" t="0" r="0" b="0"/>
                <wp:docPr id="9414" name="Group 9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93" cy="9144"/>
                          <a:chOff x="0" y="0"/>
                          <a:chExt cx="7078993" cy="9144"/>
                        </a:xfrm>
                      </wpg:grpSpPr>
                      <wps:wsp>
                        <wps:cNvPr id="10366" name="Shape 10366"/>
                        <wps:cNvSpPr/>
                        <wps:spPr>
                          <a:xfrm>
                            <a:off x="0" y="0"/>
                            <a:ext cx="7078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93" h="9144">
                                <a:moveTo>
                                  <a:pt x="0" y="0"/>
                                </a:moveTo>
                                <a:lnTo>
                                  <a:pt x="7078993" y="0"/>
                                </a:lnTo>
                                <a:lnTo>
                                  <a:pt x="707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4" style="width:557.401pt;height:0.719971pt;mso-position-horizontal-relative:char;mso-position-vertical-relative:line" coordsize="70789,91">
                <v:shape id="Shape 10367" style="position:absolute;width:70789;height:91;left:0;top:0;" coordsize="7078993,9144" path="m0,0l7078993,0l7078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74E3EB" w14:textId="77777777" w:rsidR="003F6107" w:rsidRDefault="00000000">
      <w:pPr>
        <w:ind w:left="370" w:right="18" w:firstLine="0"/>
      </w:pPr>
      <w:r>
        <w:t xml:space="preserve">Gulbenkian Prize for Humanity 2022 (for work on the IPCC 6th Assessment Report) </w:t>
      </w:r>
    </w:p>
    <w:p w14:paraId="5258891C" w14:textId="77777777" w:rsidR="003F6107" w:rsidRDefault="00000000">
      <w:pPr>
        <w:ind w:left="370" w:right="18" w:firstLine="0"/>
      </w:pPr>
      <w:r>
        <w:t xml:space="preserve">ORNL Supplemental Performance Award for Paramount Accomplishment (2x: 2022, 2023) </w:t>
      </w:r>
    </w:p>
    <w:p w14:paraId="2990CFBD" w14:textId="77777777" w:rsidR="003F6107" w:rsidRDefault="00000000">
      <w:pPr>
        <w:ind w:left="370" w:right="18" w:firstLine="0"/>
      </w:pPr>
      <w:r>
        <w:t xml:space="preserve">Fulbright Full Research Grant to Germany (US Department of State) </w:t>
      </w:r>
      <w:r>
        <w:rPr>
          <w:sz w:val="21"/>
        </w:rPr>
        <w:t>[Declined]</w:t>
      </w:r>
      <w:r>
        <w:t xml:space="preserve"> </w:t>
      </w:r>
    </w:p>
    <w:p w14:paraId="337E53F6" w14:textId="77777777" w:rsidR="003F6107" w:rsidRDefault="00000000">
      <w:pPr>
        <w:ind w:left="370" w:right="18" w:firstLine="0"/>
      </w:pPr>
      <w:r>
        <w:t xml:space="preserve">German Academic Exchange Service (DAAD) Dissertation Grant to Germany </w:t>
      </w:r>
      <w:r>
        <w:rPr>
          <w:sz w:val="21"/>
        </w:rPr>
        <w:t>[Declined]</w:t>
      </w:r>
      <w:r>
        <w:t xml:space="preserve"> </w:t>
      </w:r>
    </w:p>
    <w:p w14:paraId="1067D717" w14:textId="77777777" w:rsidR="003F6107" w:rsidRDefault="00000000">
      <w:pPr>
        <w:ind w:left="370" w:right="18" w:firstLine="0"/>
      </w:pPr>
      <w:r>
        <w:t xml:space="preserve">US National Academy of Sciences Fellowship for IIASA’s Young Scientists Summer Program </w:t>
      </w:r>
    </w:p>
    <w:p w14:paraId="7AB35535" w14:textId="77777777" w:rsidR="003F6107" w:rsidRDefault="00000000">
      <w:pPr>
        <w:ind w:left="370" w:right="18" w:firstLine="0"/>
      </w:pPr>
      <w:r>
        <w:t xml:space="preserve">Ernest E. Hill Fellowship for studying Carbon-Neutral Alternative Energy Solutions (UC-Davis) </w:t>
      </w:r>
    </w:p>
    <w:p w14:paraId="4CD8D9E0" w14:textId="77777777" w:rsidR="003F6107" w:rsidRDefault="00000000">
      <w:pPr>
        <w:ind w:left="370" w:right="18" w:firstLine="0"/>
      </w:pPr>
      <w:r>
        <w:t xml:space="preserve">Dwight David Eisenhower Graduate Transportation Fellowship (US Dept of Transportation) </w:t>
      </w:r>
    </w:p>
    <w:p w14:paraId="362B3760" w14:textId="77777777" w:rsidR="003F6107" w:rsidRDefault="00000000">
      <w:pPr>
        <w:ind w:left="370" w:right="18" w:firstLine="0"/>
      </w:pPr>
      <w:r>
        <w:t xml:space="preserve">Sustainable Transportation Center Dissertation Fellowship (UC-Davis &amp; US Dept of Transportation) </w:t>
      </w:r>
    </w:p>
    <w:p w14:paraId="32F81EEA" w14:textId="77777777" w:rsidR="003F6107" w:rsidRDefault="00000000">
      <w:pPr>
        <w:ind w:left="370" w:right="18" w:firstLine="0"/>
      </w:pPr>
      <w:r>
        <w:t xml:space="preserve">Sustainable Transportation Center’s Outstanding Student of the Year for 2010 (UC-Davis &amp; US Dept of Transportation) Chevron Corporation Graduate Research Fellowship </w:t>
      </w:r>
    </w:p>
    <w:p w14:paraId="73C6C3F5" w14:textId="77777777" w:rsidR="003F6107" w:rsidRDefault="00000000">
      <w:pPr>
        <w:ind w:left="370" w:right="18" w:firstLine="0"/>
      </w:pPr>
      <w:r>
        <w:t xml:space="preserve">Achievement Rewards for College Scientists Fellowship (2007-08 &amp; 2009-10) </w:t>
      </w:r>
    </w:p>
    <w:p w14:paraId="2B587CC0" w14:textId="77777777" w:rsidR="003F6107" w:rsidRDefault="00000000">
      <w:pPr>
        <w:ind w:left="370" w:right="18" w:firstLine="0"/>
      </w:pPr>
      <w:r>
        <w:t xml:space="preserve">UC-Davis Institute of Transportation Studies Outstanding MS Thesis Award </w:t>
      </w:r>
    </w:p>
    <w:p w14:paraId="7CB6970E" w14:textId="77777777" w:rsidR="003F6107" w:rsidRDefault="00000000">
      <w:pPr>
        <w:ind w:left="370" w:right="18" w:firstLine="0"/>
      </w:pPr>
      <w:r>
        <w:t xml:space="preserve">Tau Beta Pi Engineering Honor Society Graduate Fellowship </w:t>
      </w:r>
    </w:p>
    <w:p w14:paraId="03CDF4F7" w14:textId="77777777" w:rsidR="003F6107" w:rsidRDefault="00000000">
      <w:pPr>
        <w:ind w:left="370" w:right="18" w:firstLine="0"/>
      </w:pPr>
      <w:r>
        <w:t xml:space="preserve">University of Tennessee Chemical Engineering Outstanding Senior Award </w:t>
      </w:r>
    </w:p>
    <w:p w14:paraId="0F3B6B65" w14:textId="77777777" w:rsidR="003F6107" w:rsidRDefault="00000000">
      <w:pPr>
        <w:ind w:left="370" w:right="18" w:firstLine="0"/>
      </w:pPr>
      <w:r>
        <w:t xml:space="preserve">Tennessee Society of Professional Engineers Scholarship </w:t>
      </w:r>
    </w:p>
    <w:sectPr w:rsidR="003F6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538" w:bottom="816" w:left="575" w:header="33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D403" w14:textId="77777777" w:rsidR="006A55A5" w:rsidRDefault="006A55A5">
      <w:pPr>
        <w:spacing w:after="0" w:line="240" w:lineRule="auto"/>
      </w:pPr>
      <w:r>
        <w:separator/>
      </w:r>
    </w:p>
  </w:endnote>
  <w:endnote w:type="continuationSeparator" w:id="0">
    <w:p w14:paraId="7C6B85EC" w14:textId="77777777" w:rsidR="006A55A5" w:rsidRDefault="006A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3535" w14:textId="77777777" w:rsidR="003F6107" w:rsidRDefault="00000000">
    <w:pPr>
      <w:spacing w:after="20" w:line="259" w:lineRule="auto"/>
      <w:ind w:left="0" w:right="-21" w:firstLine="0"/>
      <w:jc w:val="right"/>
    </w:pPr>
    <w:r>
      <w:rPr>
        <w:color w:val="A6A6A6"/>
        <w:sz w:val="17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6A6A6"/>
        <w:sz w:val="17"/>
      </w:rPr>
      <w:t>1</w:t>
    </w:r>
    <w:r>
      <w:rPr>
        <w:color w:val="A6A6A6"/>
        <w:sz w:val="17"/>
      </w:rPr>
      <w:fldChar w:fldCharType="end"/>
    </w:r>
    <w:r>
      <w:rPr>
        <w:color w:val="A6A6A6"/>
        <w:sz w:val="17"/>
      </w:rPr>
      <w:t xml:space="preserve"> of </w:t>
    </w:r>
    <w:fldSimple w:instr=" NUMPAGES   \* MERGEFORMAT ">
      <w:r>
        <w:rPr>
          <w:color w:val="A6A6A6"/>
          <w:sz w:val="17"/>
        </w:rPr>
        <w:t>6</w:t>
      </w:r>
    </w:fldSimple>
    <w:r>
      <w:rPr>
        <w:color w:val="A6A6A6"/>
        <w:sz w:val="17"/>
      </w:rPr>
      <w:t xml:space="preserve"> </w:t>
    </w:r>
  </w:p>
  <w:p w14:paraId="1848E85B" w14:textId="77777777" w:rsidR="003F6107" w:rsidRDefault="00000000">
    <w:pPr>
      <w:spacing w:after="0" w:line="259" w:lineRule="auto"/>
      <w:ind w:left="1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75DF" w14:textId="77777777" w:rsidR="003F6107" w:rsidRDefault="00000000">
    <w:pPr>
      <w:spacing w:after="20" w:line="259" w:lineRule="auto"/>
      <w:ind w:left="0" w:right="-21" w:firstLine="0"/>
      <w:jc w:val="right"/>
    </w:pPr>
    <w:r>
      <w:rPr>
        <w:color w:val="A6A6A6"/>
        <w:sz w:val="17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6A6A6"/>
        <w:sz w:val="17"/>
      </w:rPr>
      <w:t>1</w:t>
    </w:r>
    <w:r>
      <w:rPr>
        <w:color w:val="A6A6A6"/>
        <w:sz w:val="17"/>
      </w:rPr>
      <w:fldChar w:fldCharType="end"/>
    </w:r>
    <w:r>
      <w:rPr>
        <w:color w:val="A6A6A6"/>
        <w:sz w:val="17"/>
      </w:rPr>
      <w:t xml:space="preserve"> of </w:t>
    </w:r>
    <w:fldSimple w:instr=" NUMPAGES   \* MERGEFORMAT ">
      <w:r>
        <w:rPr>
          <w:color w:val="A6A6A6"/>
          <w:sz w:val="17"/>
        </w:rPr>
        <w:t>6</w:t>
      </w:r>
    </w:fldSimple>
    <w:r>
      <w:rPr>
        <w:color w:val="A6A6A6"/>
        <w:sz w:val="17"/>
      </w:rPr>
      <w:t xml:space="preserve"> </w:t>
    </w:r>
  </w:p>
  <w:p w14:paraId="53A3C759" w14:textId="77777777" w:rsidR="003F6107" w:rsidRDefault="00000000">
    <w:pPr>
      <w:spacing w:after="0" w:line="259" w:lineRule="auto"/>
      <w:ind w:left="1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5F0D" w14:textId="77777777" w:rsidR="003F6107" w:rsidRDefault="00000000">
    <w:pPr>
      <w:spacing w:after="20" w:line="259" w:lineRule="auto"/>
      <w:ind w:left="0" w:right="-21" w:firstLine="0"/>
      <w:jc w:val="right"/>
    </w:pPr>
    <w:r>
      <w:rPr>
        <w:color w:val="A6A6A6"/>
        <w:sz w:val="17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6A6A6"/>
        <w:sz w:val="17"/>
      </w:rPr>
      <w:t>1</w:t>
    </w:r>
    <w:r>
      <w:rPr>
        <w:color w:val="A6A6A6"/>
        <w:sz w:val="17"/>
      </w:rPr>
      <w:fldChar w:fldCharType="end"/>
    </w:r>
    <w:r>
      <w:rPr>
        <w:color w:val="A6A6A6"/>
        <w:sz w:val="17"/>
      </w:rPr>
      <w:t xml:space="preserve"> of </w:t>
    </w:r>
    <w:fldSimple w:instr=" NUMPAGES   \* MERGEFORMAT ">
      <w:r>
        <w:rPr>
          <w:color w:val="A6A6A6"/>
          <w:sz w:val="17"/>
        </w:rPr>
        <w:t>6</w:t>
      </w:r>
    </w:fldSimple>
    <w:r>
      <w:rPr>
        <w:color w:val="A6A6A6"/>
        <w:sz w:val="17"/>
      </w:rPr>
      <w:t xml:space="preserve"> </w:t>
    </w:r>
  </w:p>
  <w:p w14:paraId="0D6F7208" w14:textId="77777777" w:rsidR="003F6107" w:rsidRDefault="00000000">
    <w:pPr>
      <w:spacing w:after="0" w:line="259" w:lineRule="auto"/>
      <w:ind w:left="1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494C" w14:textId="77777777" w:rsidR="006A55A5" w:rsidRDefault="006A55A5">
      <w:pPr>
        <w:spacing w:after="0" w:line="240" w:lineRule="auto"/>
      </w:pPr>
      <w:r>
        <w:separator/>
      </w:r>
    </w:p>
  </w:footnote>
  <w:footnote w:type="continuationSeparator" w:id="0">
    <w:p w14:paraId="4E4B104D" w14:textId="77777777" w:rsidR="006A55A5" w:rsidRDefault="006A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5C95" w14:textId="77777777" w:rsidR="003F6107" w:rsidRDefault="00000000">
    <w:pPr>
      <w:spacing w:after="0" w:line="259" w:lineRule="auto"/>
      <w:ind w:left="0" w:right="-21" w:firstLine="0"/>
      <w:jc w:val="right"/>
    </w:pPr>
    <w:r>
      <w:rPr>
        <w:color w:val="A6A6A6"/>
        <w:sz w:val="17"/>
      </w:rPr>
      <w:t>David L. McCollum – abridged C.V. as of 23 November 2025</w:t>
    </w:r>
    <w:r>
      <w:rPr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FD74" w14:textId="77777777" w:rsidR="003F6107" w:rsidRDefault="00000000">
    <w:pPr>
      <w:spacing w:after="0" w:line="259" w:lineRule="auto"/>
      <w:ind w:left="0" w:right="-21" w:firstLine="0"/>
      <w:jc w:val="right"/>
    </w:pPr>
    <w:r>
      <w:rPr>
        <w:color w:val="A6A6A6"/>
        <w:sz w:val="17"/>
      </w:rPr>
      <w:t>David L. McCollum – abridged C.V. as of 23 November 2025</w:t>
    </w:r>
    <w:r>
      <w:rPr>
        <w:sz w:val="1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1CD9" w14:textId="77777777" w:rsidR="003F6107" w:rsidRDefault="00000000">
    <w:pPr>
      <w:spacing w:after="0" w:line="259" w:lineRule="auto"/>
      <w:ind w:left="0" w:right="-21" w:firstLine="0"/>
      <w:jc w:val="right"/>
    </w:pPr>
    <w:r>
      <w:rPr>
        <w:color w:val="A6A6A6"/>
        <w:sz w:val="17"/>
      </w:rPr>
      <w:t>David L. McCollum – abridged C.V. as of 23 November 2025</w:t>
    </w:r>
    <w:r>
      <w:rPr>
        <w:sz w:val="19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07"/>
    <w:rsid w:val="003F6107"/>
    <w:rsid w:val="006A55A5"/>
    <w:rsid w:val="00823E8E"/>
    <w:rsid w:val="00D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A3101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1" w:lineRule="auto"/>
      <w:ind w:left="351" w:right="38" w:hanging="351"/>
    </w:pPr>
    <w:rPr>
      <w:rFonts w:ascii="Times New Roman" w:eastAsia="Times New Roman" w:hAnsi="Times New Roman" w:cs="Times New Roman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3513</Words>
  <Characters>22240</Characters>
  <Application>Microsoft Office Word</Application>
  <DocSecurity>0</DocSecurity>
  <Lines>283</Lines>
  <Paragraphs>163</Paragraphs>
  <ScaleCrop>false</ScaleCrop>
  <Company/>
  <LinksUpToDate>false</LinksUpToDate>
  <CharactersWithSpaces>25768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McCollum_Resume</dc:title>
  <dc:subject/>
  <dc:creator>David McCollum</dc:creator>
  <cp:keywords/>
  <cp:lastModifiedBy>Reisser, Kellyn</cp:lastModifiedBy>
  <cp:revision>2</cp:revision>
  <dcterms:created xsi:type="dcterms:W3CDTF">2026-04-16T13:26:00Z</dcterms:created>
  <dcterms:modified xsi:type="dcterms:W3CDTF">2026-04-16T13:26:00Z</dcterms:modified>
</cp:coreProperties>
</file>